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D75" w:rsidRDefault="00066F77">
      <w:pPr>
        <w:jc w:val="center"/>
        <w:rPr>
          <w:rFonts w:ascii="Times New Roman" w:hAnsi="Times New Roman" w:cs="Times New Roman"/>
          <w:b/>
        </w:rPr>
      </w:pPr>
      <w:r>
        <w:rPr>
          <w:rFonts w:ascii="Times New Roman" w:hAnsi="Times New Roman" w:cs="Times New Roman"/>
          <w:b/>
        </w:rPr>
        <w:t xml:space="preserve">Pengaruh </w:t>
      </w:r>
      <w:r>
        <w:rPr>
          <w:rFonts w:ascii="Times New Roman" w:hAnsi="Times New Roman" w:cs="Times New Roman"/>
          <w:b/>
          <w:i/>
        </w:rPr>
        <w:t xml:space="preserve">Capital Adequacy Ratio </w:t>
      </w:r>
      <w:r>
        <w:rPr>
          <w:rFonts w:ascii="Times New Roman" w:hAnsi="Times New Roman" w:cs="Times New Roman"/>
          <w:b/>
        </w:rPr>
        <w:t xml:space="preserve">(CAR) dan </w:t>
      </w:r>
      <w:r>
        <w:rPr>
          <w:rFonts w:ascii="Times New Roman" w:hAnsi="Times New Roman" w:cs="Times New Roman"/>
          <w:b/>
          <w:i/>
        </w:rPr>
        <w:t xml:space="preserve">Financing to Deposit Ratio </w:t>
      </w:r>
      <w:r>
        <w:rPr>
          <w:rFonts w:ascii="Times New Roman" w:hAnsi="Times New Roman" w:cs="Times New Roman"/>
          <w:b/>
        </w:rPr>
        <w:t xml:space="preserve">(FDR) terhadap </w:t>
      </w:r>
      <w:r>
        <w:rPr>
          <w:rFonts w:ascii="Times New Roman" w:hAnsi="Times New Roman" w:cs="Times New Roman"/>
          <w:b/>
          <w:i/>
        </w:rPr>
        <w:t xml:space="preserve">Return On Asset </w:t>
      </w:r>
      <w:r>
        <w:rPr>
          <w:rFonts w:ascii="Times New Roman" w:hAnsi="Times New Roman" w:cs="Times New Roman"/>
          <w:b/>
        </w:rPr>
        <w:t>(ROA) pada Bank BNI Syariah periode 2012-2016</w:t>
      </w:r>
    </w:p>
    <w:p w:rsidR="003E6D75" w:rsidRDefault="003E6D75">
      <w:pPr>
        <w:jc w:val="center"/>
        <w:rPr>
          <w:rFonts w:ascii="Times New Roman" w:hAnsi="Times New Roman" w:cs="Times New Roman"/>
          <w:b/>
        </w:rPr>
      </w:pPr>
    </w:p>
    <w:p w:rsidR="003E6D75" w:rsidRDefault="00066F77">
      <w:pPr>
        <w:spacing w:after="0" w:line="240" w:lineRule="auto"/>
        <w:jc w:val="center"/>
        <w:rPr>
          <w:rFonts w:ascii="Times New Roman" w:hAnsi="Times New Roman" w:cs="Times New Roman"/>
        </w:rPr>
      </w:pPr>
      <w:r>
        <w:rPr>
          <w:rFonts w:ascii="Times New Roman" w:hAnsi="Times New Roman" w:cs="Times New Roman"/>
        </w:rPr>
        <w:t>Yuriska Astri Delwis</w:t>
      </w:r>
    </w:p>
    <w:p w:rsidR="003E6D75" w:rsidRDefault="00066F77">
      <w:pPr>
        <w:spacing w:after="0" w:line="240" w:lineRule="auto"/>
        <w:jc w:val="center"/>
        <w:rPr>
          <w:rFonts w:ascii="Times New Roman" w:eastAsia="Calibri" w:hAnsi="Times New Roman"/>
        </w:rPr>
      </w:pPr>
      <w:r>
        <w:rPr>
          <w:rFonts w:ascii="Times New Roman" w:eastAsia="Calibri" w:hAnsi="Times New Roman"/>
        </w:rPr>
        <w:t>Jurusan Manajemen Perbankan Syariah</w:t>
      </w:r>
    </w:p>
    <w:p w:rsidR="003E6D75" w:rsidRDefault="00066F77">
      <w:pPr>
        <w:spacing w:after="0" w:line="240" w:lineRule="auto"/>
        <w:jc w:val="center"/>
        <w:rPr>
          <w:rFonts w:ascii="Times New Roman" w:eastAsia="Calibri" w:hAnsi="Times New Roman"/>
        </w:rPr>
      </w:pPr>
      <w:r>
        <w:rPr>
          <w:rFonts w:ascii="Times New Roman" w:eastAsia="Calibri" w:hAnsi="Times New Roman"/>
        </w:rPr>
        <w:t>Prodi S1 Manajemen</w:t>
      </w:r>
    </w:p>
    <w:p w:rsidR="003E6D75" w:rsidRDefault="00066F77">
      <w:pPr>
        <w:spacing w:after="0" w:line="240" w:lineRule="auto"/>
        <w:jc w:val="center"/>
        <w:rPr>
          <w:rFonts w:ascii="Times New Roman" w:eastAsia="Calibri" w:hAnsi="Times New Roman"/>
        </w:rPr>
      </w:pPr>
      <w:r>
        <w:rPr>
          <w:rFonts w:ascii="Times New Roman" w:eastAsia="Calibri" w:hAnsi="Times New Roman"/>
        </w:rPr>
        <w:t xml:space="preserve">Sekolah Tinggi Ilmu Ekonomi </w:t>
      </w:r>
      <w:r>
        <w:rPr>
          <w:rFonts w:ascii="Times New Roman" w:eastAsia="Calibri" w:hAnsi="Times New Roman"/>
        </w:rPr>
        <w:t>(STIE) Ekuitas</w:t>
      </w:r>
    </w:p>
    <w:p w:rsidR="003E6D75" w:rsidRDefault="00066F77">
      <w:pPr>
        <w:spacing w:after="0" w:line="240" w:lineRule="auto"/>
        <w:jc w:val="center"/>
        <w:rPr>
          <w:rFonts w:ascii="Times New Roman" w:eastAsia="Calibri" w:hAnsi="Times New Roman"/>
        </w:rPr>
      </w:pPr>
      <w:r>
        <w:rPr>
          <w:rFonts w:ascii="Times New Roman" w:eastAsia="Calibri" w:hAnsi="Times New Roman"/>
        </w:rPr>
        <w:t>Email : yuriskaadelwis@gmail.com</w:t>
      </w:r>
    </w:p>
    <w:p w:rsidR="003E6D75" w:rsidRDefault="003E6D75">
      <w:pPr>
        <w:jc w:val="both"/>
        <w:rPr>
          <w:rFonts w:ascii="Times New Roman" w:eastAsia="Calibri" w:hAnsi="Times New Roman"/>
        </w:rPr>
      </w:pPr>
    </w:p>
    <w:p w:rsidR="003E6D75" w:rsidRDefault="00066F77">
      <w:pPr>
        <w:spacing w:after="0" w:line="240" w:lineRule="auto"/>
        <w:jc w:val="center"/>
        <w:rPr>
          <w:rFonts w:ascii="Times New Roman" w:eastAsia="Calibri" w:hAnsi="Times New Roman"/>
          <w:b/>
          <w:bCs/>
          <w:i/>
          <w:iCs/>
        </w:rPr>
      </w:pPr>
      <w:r>
        <w:rPr>
          <w:rFonts w:ascii="Times New Roman" w:eastAsia="Calibri" w:hAnsi="Times New Roman"/>
          <w:b/>
          <w:bCs/>
          <w:i/>
          <w:iCs/>
        </w:rPr>
        <w:t xml:space="preserve">ABSTRACT </w:t>
      </w:r>
    </w:p>
    <w:p w:rsidR="003E6D75" w:rsidRDefault="00066F77">
      <w:pPr>
        <w:spacing w:after="0" w:line="240" w:lineRule="auto"/>
        <w:ind w:firstLine="720"/>
        <w:jc w:val="both"/>
        <w:rPr>
          <w:rFonts w:ascii="Times New Roman" w:eastAsia="Calibri" w:hAnsi="Times New Roman"/>
          <w:i/>
          <w:iCs/>
          <w:color w:val="222222"/>
        </w:rPr>
      </w:pPr>
      <w:r>
        <w:rPr>
          <w:rFonts w:ascii="Times New Roman" w:eastAsia="Calibri" w:hAnsi="Times New Roman"/>
          <w:i/>
          <w:iCs/>
          <w:color w:val="222222"/>
        </w:rPr>
        <w:t>Islamic banks in carrying out its operational activities have the main objective, which can achieve maximum profitability level. Profitability is the ability of banks in generating profits effectiv</w:t>
      </w:r>
      <w:r>
        <w:rPr>
          <w:rFonts w:ascii="Times New Roman" w:eastAsia="Calibri" w:hAnsi="Times New Roman"/>
          <w:i/>
          <w:iCs/>
          <w:color w:val="222222"/>
        </w:rPr>
        <w:t xml:space="preserve">ely and efficiently. The purpose of this study to determine the effect of Capital Adequacy Ratio (CAR) and Financing to Deposit Ratio (FDR) on Return On Assets (ROA) at Bank BNI Syariah period 2012-2016. </w:t>
      </w:r>
    </w:p>
    <w:p w:rsidR="003E6D75" w:rsidRDefault="00066F77">
      <w:pPr>
        <w:spacing w:after="0" w:line="240" w:lineRule="auto"/>
        <w:ind w:firstLine="720"/>
        <w:jc w:val="both"/>
        <w:rPr>
          <w:rFonts w:ascii="Times New Roman" w:eastAsia="Calibri" w:hAnsi="Times New Roman"/>
          <w:i/>
          <w:iCs/>
          <w:color w:val="222222"/>
        </w:rPr>
      </w:pPr>
      <w:r>
        <w:rPr>
          <w:rFonts w:ascii="Times New Roman" w:eastAsia="Calibri" w:hAnsi="Times New Roman"/>
          <w:i/>
          <w:iCs/>
          <w:color w:val="222222"/>
        </w:rPr>
        <w:t>The data obtained is data from the financial statem</w:t>
      </w:r>
      <w:r>
        <w:rPr>
          <w:rFonts w:ascii="Times New Roman" w:eastAsia="Calibri" w:hAnsi="Times New Roman"/>
          <w:i/>
          <w:iCs/>
          <w:color w:val="222222"/>
        </w:rPr>
        <w:t>ents of Bank BNI Syariah period 2012-2016. The method used in this research is descriptive and verifikatif method with data collection techniques using documentation study and literature study. Method of data analysis used is technique of doubled linear an</w:t>
      </w:r>
      <w:r>
        <w:rPr>
          <w:rFonts w:ascii="Times New Roman" w:eastAsia="Calibri" w:hAnsi="Times New Roman"/>
          <w:i/>
          <w:iCs/>
          <w:color w:val="222222"/>
        </w:rPr>
        <w:t>alysis.</w:t>
      </w:r>
    </w:p>
    <w:p w:rsidR="003E6D75" w:rsidRDefault="00066F77">
      <w:pPr>
        <w:spacing w:after="0" w:line="240" w:lineRule="auto"/>
        <w:ind w:firstLine="720"/>
        <w:jc w:val="both"/>
        <w:rPr>
          <w:rFonts w:ascii="Times New Roman" w:eastAsia="Calibri" w:hAnsi="Times New Roman"/>
          <w:i/>
          <w:iCs/>
          <w:color w:val="222222"/>
        </w:rPr>
      </w:pPr>
      <w:r>
        <w:rPr>
          <w:rFonts w:ascii="Times New Roman" w:eastAsia="Calibri" w:hAnsi="Times New Roman"/>
          <w:i/>
          <w:iCs/>
          <w:color w:val="222222"/>
        </w:rPr>
        <w:t xml:space="preserve">The result of this research shows that Capital Adequacy Ratio (CAR) variable partially has significant effect, while Financing to Deposit Ratio (FDR) variable has negative effect on Return On Asset (ROA). For the results of simultaneously variable </w:t>
      </w:r>
      <w:r>
        <w:rPr>
          <w:rFonts w:ascii="Times New Roman" w:eastAsia="Calibri" w:hAnsi="Times New Roman"/>
          <w:i/>
          <w:iCs/>
          <w:color w:val="222222"/>
        </w:rPr>
        <w:t>Capital Adequacy Ratio (CAR) and Financing to Deposit Ratio (FDR) have a significant effect on Return On Assets (ROA).</w:t>
      </w:r>
    </w:p>
    <w:p w:rsidR="003E6D75" w:rsidRDefault="00066F77">
      <w:pPr>
        <w:jc w:val="both"/>
        <w:rPr>
          <w:rFonts w:ascii="Times New Roman" w:eastAsia="Calibri" w:hAnsi="Times New Roman"/>
          <w:i/>
          <w:iCs/>
        </w:rPr>
      </w:pPr>
      <w:r>
        <w:rPr>
          <w:rFonts w:ascii="Times New Roman" w:eastAsia="Calibri" w:hAnsi="Times New Roman"/>
          <w:b/>
          <w:bCs/>
          <w:i/>
          <w:iCs/>
          <w:color w:val="222222"/>
        </w:rPr>
        <w:t xml:space="preserve">Keywords: </w:t>
      </w:r>
      <w:r>
        <w:rPr>
          <w:rFonts w:ascii="Times New Roman" w:eastAsia="Calibri" w:hAnsi="Times New Roman"/>
          <w:i/>
          <w:iCs/>
          <w:color w:val="222222"/>
        </w:rPr>
        <w:t>Capital Adequacy Ratio (CAR); Financing to Deposit Ratio (FDR); Return On Asset (ROA).</w:t>
      </w:r>
    </w:p>
    <w:p w:rsidR="003E6D75" w:rsidRDefault="00066F77">
      <w:pPr>
        <w:spacing w:after="0" w:line="240" w:lineRule="auto"/>
        <w:jc w:val="both"/>
        <w:rPr>
          <w:rFonts w:ascii="Times New Roman" w:hAnsi="Times New Roman" w:cs="Times New Roman"/>
          <w:b/>
        </w:rPr>
      </w:pPr>
      <w:r>
        <w:rPr>
          <w:rFonts w:ascii="Times New Roman" w:hAnsi="Times New Roman" w:cs="Times New Roman"/>
          <w:b/>
        </w:rPr>
        <w:t xml:space="preserve">Pendahuluan </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Industri perbankan memegang</w:t>
      </w:r>
      <w:r>
        <w:rPr>
          <w:rFonts w:ascii="Times New Roman" w:eastAsia="Calibri" w:hAnsi="Times New Roman"/>
        </w:rPr>
        <w:t xml:space="preserve"> peran penting bagi pembagunan ekonomi yaitu sebagai </w:t>
      </w:r>
      <w:r>
        <w:rPr>
          <w:rFonts w:ascii="Times New Roman" w:eastAsia="Calibri" w:hAnsi="Times New Roman"/>
          <w:i/>
          <w:iCs/>
        </w:rPr>
        <w:t xml:space="preserve">financial intermediary </w:t>
      </w:r>
      <w:r>
        <w:rPr>
          <w:rFonts w:ascii="Times New Roman" w:eastAsia="Calibri" w:hAnsi="Times New Roman"/>
        </w:rPr>
        <w:t xml:space="preserve">atau perantara pihak yang kelebihan dana dengan pihak yang membutuhkan dana sesuai dengan Undang-Undang Republik Indonesia No. 10 tahun 1998 tentang perbankan pasal 4 disebutkan </w:t>
      </w:r>
      <w:r>
        <w:rPr>
          <w:rFonts w:ascii="Times New Roman" w:eastAsia="Calibri" w:hAnsi="Times New Roman"/>
        </w:rPr>
        <w:t xml:space="preserve">bahwa “bank adalah badan usaha yang menghimpun dana dari masyarakat dalam bentuk kredit dan atau bentuk-bentuk lainnya dalam rangka meningkatkan taraf hidup rakyat banyak”. Fungsi bank dan sebagai lembaga intermediasi ini membuat bank memiliki posisi yang </w:t>
      </w:r>
      <w:r>
        <w:rPr>
          <w:rFonts w:ascii="Times New Roman" w:eastAsia="Calibri" w:hAnsi="Times New Roman"/>
        </w:rPr>
        <w:t>strategis didalam perekonomian dengan aktivitasnya, yaitu menghimpun dana dan menyalurkan dana kepada masyarakat yang membutuhkan dana untuk meningkatkan arus investasi, modal kerja dan konsumsi.</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Secara umum, berdasarkan jenisnya, di Indonesia terdapat dua</w:t>
      </w:r>
      <w:r>
        <w:rPr>
          <w:rFonts w:ascii="Times New Roman" w:eastAsia="Calibri" w:hAnsi="Times New Roman"/>
        </w:rPr>
        <w:t xml:space="preserve"> jenis bank, yaitu bank konvensional atau bank yang melalukan usaha secara konvensional dan bank syariah atau bank yang melakukan usaha dengan berdasarkan prinsip syariah. (Pasal 1 Ayat 2 Undang-Undang No. 10 tahun 1998 tentang perubahan Undang-Undang No.7</w:t>
      </w:r>
      <w:r>
        <w:rPr>
          <w:rFonts w:ascii="Times New Roman" w:eastAsia="Calibri" w:hAnsi="Times New Roman"/>
        </w:rPr>
        <w:t xml:space="preserve"> tahun 1992 tentang perbankan).</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Perbedaan yang mendasar antara bank konvensional dan bank syariah adalah adanya prinsip islam didalam kegiatan bank syariah, adanya larangan bunga dalam bank syariah, menjadikan bank syariah menganut sistem bagi hasil, sedan</w:t>
      </w:r>
      <w:r>
        <w:rPr>
          <w:rFonts w:ascii="Times New Roman" w:eastAsia="Calibri" w:hAnsi="Times New Roman"/>
        </w:rPr>
        <w:t>gkan bank konvensional menganut sistem bunga (Ismail,2016 : 26).</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Didalam Undang-Undang no.21 tahun 2008 tentang Perbankan Syariah pasal 1 ayat 1, dijelaskan bahwa “Perbankan Syariah dan Unit Usaha Syariah, mencakup kelembagaan, kegiatan usaha serta cara da</w:t>
      </w:r>
      <w:r>
        <w:rPr>
          <w:rFonts w:ascii="Times New Roman" w:eastAsia="Calibri" w:hAnsi="Times New Roman"/>
        </w:rPr>
        <w:t>n proses dalam melaksanakan kegiatan usahanya”.</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 xml:space="preserve">Didalam Undang-Undang no.21 tahun 2008 tentang Perbankan Syariah  pasal 1 ayat 8 tertulis pula bahwa, “Bank umum syariah adalah bank syariah yang dalam kegiatannya </w:t>
      </w:r>
      <w:r>
        <w:rPr>
          <w:rFonts w:ascii="Times New Roman" w:eastAsia="Calibri" w:hAnsi="Times New Roman"/>
        </w:rPr>
        <w:lastRenderedPageBreak/>
        <w:t>memberikan jasa dalam lalu lintas pembayaran</w:t>
      </w:r>
      <w:r>
        <w:rPr>
          <w:rFonts w:ascii="Times New Roman" w:eastAsia="Calibri" w:hAnsi="Times New Roman"/>
        </w:rPr>
        <w:t>”. sedangkan, dalam UU No.21/2008 tentang Perbankan Syariah pasal 1 ayat 9 tertulis, “bank pembiayaan rakyat syariah adalah bank syariah yang dalam kegiatannya tidak memberikan jasa dalam lalu lintas pembayaran”.</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Menurut Undang-Undang Nomor 21 Tahun 2008 t</w:t>
      </w:r>
      <w:r>
        <w:rPr>
          <w:rFonts w:ascii="Times New Roman" w:eastAsia="Calibri" w:hAnsi="Times New Roman"/>
        </w:rPr>
        <w:t>entang perbankan syariah pasal 1 ayat 7 bahwa, “pengertian bank syariah adalah bank yang menjalankan kegiatan usahanya berdasarkan prinsip syariah dan menurut jenisnya terdiri atas Bank Umum Syariah (BUS) dan Bank Pembiayaan Rakyat Syariah (BPRS)”.</w:t>
      </w:r>
    </w:p>
    <w:p w:rsidR="003E6D75" w:rsidRDefault="00066F77">
      <w:pPr>
        <w:autoSpaceDE w:val="0"/>
        <w:spacing w:after="0" w:line="240" w:lineRule="auto"/>
        <w:jc w:val="center"/>
        <w:rPr>
          <w:rFonts w:ascii="Times New Roman" w:eastAsia="Calibri" w:hAnsi="Times New Roman"/>
          <w:b/>
          <w:bCs/>
        </w:rPr>
      </w:pPr>
      <w:r>
        <w:rPr>
          <w:rFonts w:ascii="Times New Roman" w:eastAsia="Calibri" w:hAnsi="Times New Roman"/>
          <w:b/>
          <w:bCs/>
        </w:rPr>
        <w:t>Perkemb</w:t>
      </w:r>
      <w:r>
        <w:rPr>
          <w:rFonts w:ascii="Times New Roman" w:eastAsia="Calibri" w:hAnsi="Times New Roman"/>
          <w:b/>
          <w:bCs/>
        </w:rPr>
        <w:t xml:space="preserve">angan Capital Adequacy Ratio (CAR), Financing to Deposit Ratio (FDR), dan Return On Assets (ROA)  pada Bank BNI Syariah </w:t>
      </w:r>
    </w:p>
    <w:p w:rsidR="003E6D75" w:rsidRDefault="00066F77">
      <w:pPr>
        <w:autoSpaceDE w:val="0"/>
        <w:spacing w:after="0" w:line="240" w:lineRule="auto"/>
        <w:jc w:val="center"/>
        <w:rPr>
          <w:rFonts w:ascii="Times New Roman" w:eastAsia="Calibri" w:hAnsi="Times New Roman"/>
          <w:b/>
          <w:bCs/>
        </w:rPr>
      </w:pPr>
      <w:r>
        <w:rPr>
          <w:rFonts w:ascii="Times New Roman" w:eastAsia="Calibri" w:hAnsi="Times New Roman"/>
          <w:b/>
          <w:bCs/>
        </w:rPr>
        <w:t>Periode 2012-2016</w:t>
      </w:r>
    </w:p>
    <w:p w:rsidR="003E6D75" w:rsidRDefault="00066F77">
      <w:pPr>
        <w:autoSpaceDE w:val="0"/>
        <w:spacing w:after="0" w:line="240" w:lineRule="auto"/>
        <w:jc w:val="center"/>
        <w:rPr>
          <w:rFonts w:ascii="Times New Roman" w:eastAsia="Calibri" w:hAnsi="Times New Roman"/>
          <w:b/>
          <w:bCs/>
        </w:rPr>
      </w:pPr>
      <w:r>
        <w:rPr>
          <w:rFonts w:ascii="Times New Roman" w:eastAsia="Calibri" w:hAnsi="Times New Roman"/>
          <w:b/>
          <w:bCs/>
        </w:rPr>
        <w:t xml:space="preserve"> </w:t>
      </w:r>
    </w:p>
    <w:tbl>
      <w:tblPr>
        <w:tblStyle w:val="TableGrid"/>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25"/>
        <w:gridCol w:w="2025"/>
        <w:gridCol w:w="2025"/>
        <w:gridCol w:w="2025"/>
      </w:tblGrid>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Tahun</w:t>
            </w:r>
          </w:p>
        </w:tc>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CAR (%)</w:t>
            </w:r>
          </w:p>
        </w:tc>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FDR (%)</w:t>
            </w:r>
          </w:p>
        </w:tc>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ROA (%)</w:t>
            </w:r>
          </w:p>
        </w:tc>
      </w:tr>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2012</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19,29%</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84,99%</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1,48%</w:t>
            </w:r>
          </w:p>
        </w:tc>
      </w:tr>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2013</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16,54%</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97,86%</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1,37%</w:t>
            </w:r>
          </w:p>
        </w:tc>
      </w:tr>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2014</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18,76%</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92,60%</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1,27%</w:t>
            </w:r>
          </w:p>
        </w:tc>
      </w:tr>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2015</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18,16%</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91,94%</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1,43%</w:t>
            </w:r>
          </w:p>
        </w:tc>
      </w:tr>
      <w:tr w:rsidR="003E6D75">
        <w:tc>
          <w:tcPr>
            <w:tcW w:w="2025" w:type="dxa"/>
          </w:tcPr>
          <w:p w:rsidR="003E6D75" w:rsidRDefault="00066F77">
            <w:pPr>
              <w:spacing w:after="0" w:line="240" w:lineRule="auto"/>
              <w:jc w:val="center"/>
              <w:rPr>
                <w:rFonts w:ascii="Times New Roman" w:eastAsia="Calibri" w:hAnsi="Times New Roman" w:cs="Times New Roman"/>
                <w:b/>
                <w:bCs/>
                <w:sz w:val="24"/>
                <w:szCs w:val="24"/>
                <w:lang w:eastAsia="id-ID"/>
              </w:rPr>
            </w:pPr>
            <w:r>
              <w:rPr>
                <w:rFonts w:ascii="Times New Roman" w:eastAsia="Calibri" w:hAnsi="Times New Roman" w:cs="Times New Roman"/>
                <w:b/>
                <w:bCs/>
                <w:sz w:val="20"/>
                <w:szCs w:val="20"/>
                <w:lang w:eastAsia="id-ID"/>
              </w:rPr>
              <w:t>2016</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17,81%</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84,57%</w:t>
            </w:r>
          </w:p>
        </w:tc>
        <w:tc>
          <w:tcPr>
            <w:tcW w:w="2025" w:type="dxa"/>
          </w:tcPr>
          <w:p w:rsidR="003E6D75" w:rsidRDefault="00066F77">
            <w:pPr>
              <w:spacing w:after="0" w:line="240" w:lineRule="auto"/>
              <w:jc w:val="center"/>
              <w:rPr>
                <w:rFonts w:ascii="Times New Roman" w:eastAsia="Calibri" w:hAnsi="Times New Roman" w:cs="Times New Roman"/>
                <w:sz w:val="24"/>
                <w:szCs w:val="24"/>
                <w:lang w:eastAsia="id-ID"/>
              </w:rPr>
            </w:pPr>
            <w:r>
              <w:rPr>
                <w:rFonts w:ascii="Times New Roman" w:eastAsia="Calibri" w:hAnsi="Times New Roman" w:cs="Times New Roman"/>
                <w:sz w:val="20"/>
                <w:szCs w:val="20"/>
                <w:lang w:eastAsia="id-ID"/>
              </w:rPr>
              <w:t>1,44%</w:t>
            </w:r>
          </w:p>
        </w:tc>
      </w:tr>
    </w:tbl>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 xml:space="preserve">Sumber : </w:t>
      </w:r>
      <w:r>
        <w:rPr>
          <w:rFonts w:ascii="Times New Roman" w:eastAsia="Calibri" w:hAnsi="Times New Roman"/>
          <w:b/>
          <w:bCs/>
          <w:i/>
          <w:iCs/>
        </w:rPr>
        <w:t xml:space="preserve">Annual Report </w:t>
      </w:r>
      <w:r>
        <w:rPr>
          <w:rFonts w:ascii="Times New Roman" w:eastAsia="Calibri" w:hAnsi="Times New Roman"/>
          <w:b/>
          <w:bCs/>
        </w:rPr>
        <w:t>Bank BNI Syariah periode 2012-2016</w:t>
      </w:r>
    </w:p>
    <w:p w:rsidR="003E6D75" w:rsidRDefault="00066F77">
      <w:pPr>
        <w:spacing w:after="0" w:line="240" w:lineRule="auto"/>
        <w:jc w:val="both"/>
        <w:rPr>
          <w:rFonts w:ascii="Times New Roman" w:eastAsia="Calibri" w:hAnsi="Times New Roman"/>
        </w:rPr>
      </w:pPr>
      <w:r>
        <w:rPr>
          <w:rFonts w:ascii="Times New Roman" w:eastAsia="Calibri" w:hAnsi="Times New Roman"/>
        </w:rPr>
        <w:tab/>
        <w:t xml:space="preserve">Berdasarkan data yang ada pada tabel 1.1 dapat dilihat perkembangan presentase dari </w:t>
      </w:r>
      <w:r>
        <w:rPr>
          <w:rFonts w:ascii="Times New Roman" w:eastAsia="Calibri" w:hAnsi="Times New Roman"/>
          <w:i/>
          <w:iCs/>
        </w:rPr>
        <w:t xml:space="preserve">Capital Adequacy Ratio(CAR), Financing to Deposit Ratio(FDR), dan </w:t>
      </w:r>
      <w:r>
        <w:rPr>
          <w:rFonts w:ascii="Times New Roman" w:eastAsia="Calibri" w:hAnsi="Times New Roman"/>
          <w:i/>
          <w:iCs/>
        </w:rPr>
        <w:t xml:space="preserve">Return On Assets(ROA) </w:t>
      </w:r>
      <w:r>
        <w:rPr>
          <w:rFonts w:ascii="Times New Roman" w:eastAsia="Calibri" w:hAnsi="Times New Roman"/>
        </w:rPr>
        <w:t>pada Bank BNI Syariah Periode 2012-2016 mengalami fluktuasi setiap tahunnya. Kondisi CAR pada tahun 2014-2015 mengalami penurunan dari 18,76% menjadi 18,16%, sedangkan ROA mengalami kenaikan dari 1,27% menjadi 1,43%. ROA pada tahun 20</w:t>
      </w:r>
      <w:r>
        <w:rPr>
          <w:rFonts w:ascii="Times New Roman" w:eastAsia="Calibri" w:hAnsi="Times New Roman"/>
        </w:rPr>
        <w:t>15-2016 mengalami kenaikan dari 1,43% menjadi 1,44%, sedangkan CAR mengalami penurunan ditahun yang sama dari 18,16% menjadi 17,81% dan kondisi FDR mengalami kenaikan ditahun 2012-2013 dari 84,99% menjadi 97,86%, dan pada tahun yang sama ROA mengalami penu</w:t>
      </w:r>
      <w:r>
        <w:rPr>
          <w:rFonts w:ascii="Times New Roman" w:eastAsia="Calibri" w:hAnsi="Times New Roman"/>
        </w:rPr>
        <w:t>runan dari 1,48% menjadi 1,37% pada tahun 2015-2016 FDR mengalami penurunan dari 91,94% menjadi 84,57% sedangkan ROA ditahun yang sama mengalami kenaikan dari 1,43% menjadi 1,44%.</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Fenomena ini juga sesuai dengan hasil penelitian oleh Bambang sudiyanto (201</w:t>
      </w:r>
      <w:r>
        <w:rPr>
          <w:rFonts w:ascii="Times New Roman" w:eastAsia="Calibri" w:hAnsi="Times New Roman"/>
        </w:rPr>
        <w:t xml:space="preserve">0), bahwa </w:t>
      </w:r>
      <w:r>
        <w:rPr>
          <w:rFonts w:ascii="Times New Roman" w:eastAsia="Calibri" w:hAnsi="Times New Roman"/>
          <w:i/>
          <w:iCs/>
        </w:rPr>
        <w:t xml:space="preserve">capital adequacy ratio </w:t>
      </w:r>
      <w:r>
        <w:rPr>
          <w:rFonts w:ascii="Times New Roman" w:eastAsia="Calibri" w:hAnsi="Times New Roman"/>
        </w:rPr>
        <w:t xml:space="preserve">(CAR) berpengaruh positif dan signifikan terhadap kinerja bank </w:t>
      </w:r>
      <w:r>
        <w:rPr>
          <w:rFonts w:ascii="Times New Roman" w:eastAsia="Calibri" w:hAnsi="Times New Roman"/>
          <w:i/>
          <w:iCs/>
        </w:rPr>
        <w:t xml:space="preserve">return on assets </w:t>
      </w:r>
      <w:r>
        <w:rPr>
          <w:rFonts w:ascii="Times New Roman" w:eastAsia="Calibri" w:hAnsi="Times New Roman"/>
        </w:rPr>
        <w:t xml:space="preserve">(ROA), dan </w:t>
      </w:r>
      <w:r>
        <w:rPr>
          <w:rFonts w:ascii="Times New Roman" w:eastAsia="Calibri" w:hAnsi="Times New Roman"/>
          <w:i/>
          <w:iCs/>
        </w:rPr>
        <w:t xml:space="preserve">financing to deposit ratio </w:t>
      </w:r>
      <w:r>
        <w:rPr>
          <w:rFonts w:ascii="Times New Roman" w:eastAsia="Calibri" w:hAnsi="Times New Roman"/>
        </w:rPr>
        <w:t xml:space="preserve">(FDR) berpengaruh positif tidak signifikan terhadap kinerja bank </w:t>
      </w:r>
      <w:r>
        <w:rPr>
          <w:rFonts w:ascii="Times New Roman" w:eastAsia="Calibri" w:hAnsi="Times New Roman"/>
          <w:i/>
          <w:iCs/>
        </w:rPr>
        <w:t xml:space="preserve">return on assets </w:t>
      </w:r>
      <w:r>
        <w:rPr>
          <w:rFonts w:ascii="Times New Roman" w:eastAsia="Calibri" w:hAnsi="Times New Roman"/>
        </w:rPr>
        <w:t xml:space="preserve">(ROA) atau berpengaruh </w:t>
      </w:r>
      <w:r>
        <w:rPr>
          <w:rFonts w:ascii="Times New Roman" w:eastAsia="Calibri" w:hAnsi="Times New Roman"/>
        </w:rPr>
        <w:t xml:space="preserve">sangat kecil terhadap </w:t>
      </w:r>
      <w:r>
        <w:rPr>
          <w:rFonts w:ascii="Times New Roman" w:eastAsia="Calibri" w:hAnsi="Times New Roman"/>
          <w:i/>
          <w:iCs/>
        </w:rPr>
        <w:t xml:space="preserve">return on assets </w:t>
      </w:r>
      <w:r>
        <w:rPr>
          <w:rFonts w:ascii="Times New Roman" w:eastAsia="Calibri" w:hAnsi="Times New Roman"/>
        </w:rPr>
        <w:t xml:space="preserve">(ROA). </w:t>
      </w:r>
    </w:p>
    <w:p w:rsidR="003E6D75" w:rsidRDefault="003E6D75">
      <w:pPr>
        <w:spacing w:after="0" w:line="240" w:lineRule="auto"/>
        <w:ind w:firstLine="720"/>
        <w:jc w:val="both"/>
        <w:rPr>
          <w:rFonts w:ascii="Times New Roman" w:eastAsia="Calibri" w:hAnsi="Times New Roman"/>
        </w:rPr>
      </w:pPr>
    </w:p>
    <w:p w:rsidR="003E6D75" w:rsidRDefault="00066F77">
      <w:pPr>
        <w:spacing w:line="240" w:lineRule="auto"/>
        <w:jc w:val="both"/>
        <w:rPr>
          <w:rFonts w:ascii="Times New Roman" w:hAnsi="Times New Roman" w:cs="Times New Roman"/>
          <w:b/>
        </w:rPr>
      </w:pPr>
      <w:r>
        <w:rPr>
          <w:rFonts w:ascii="Times New Roman" w:hAnsi="Times New Roman" w:cs="Times New Roman"/>
          <w:b/>
        </w:rPr>
        <w:t>Kajian Literatur</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 xml:space="preserve">Istilah bank berasal dari bahasa italia yaitu </w:t>
      </w:r>
      <w:r>
        <w:rPr>
          <w:rFonts w:ascii="Times New Roman" w:eastAsia="Calibri" w:hAnsi="Times New Roman"/>
          <w:i/>
          <w:iCs/>
        </w:rPr>
        <w:t>banco</w:t>
      </w:r>
      <w:r>
        <w:rPr>
          <w:rFonts w:ascii="Times New Roman" w:eastAsia="Calibri" w:hAnsi="Times New Roman"/>
        </w:rPr>
        <w:t xml:space="preserve"> (bangku). Istilah inilah yang digunakan oleh </w:t>
      </w:r>
      <w:r>
        <w:rPr>
          <w:rFonts w:ascii="Times New Roman" w:eastAsia="Calibri" w:hAnsi="Times New Roman"/>
          <w:i/>
          <w:iCs/>
        </w:rPr>
        <w:t>banker</w:t>
      </w:r>
      <w:r>
        <w:rPr>
          <w:rFonts w:ascii="Times New Roman" w:eastAsia="Calibri" w:hAnsi="Times New Roman"/>
        </w:rPr>
        <w:t xml:space="preserve"> kemudian berkembang dan lebih dikenal dengan sebutan bank (Muktar,Bustari 2016:79). Menurut Undang-Undang No. 10 Tahun 1998 tentang perubahan Undang-Undang no.7 1992 tentang perbankan pasal 1 ayat 2 bahwa “Bank adalah badan usaha yang menghimpun dana dari</w:t>
      </w:r>
      <w:r>
        <w:rPr>
          <w:rFonts w:ascii="Times New Roman" w:eastAsia="Calibri" w:hAnsi="Times New Roman"/>
        </w:rPr>
        <w:t xml:space="preserve"> masyarakat dalam bentuk simpanan dan menyalurkannya kepada masyarakat dalam bentuk kredit dan atau bentuk-bentuk lainnya dalam rangka meningkatkan taraf  hidup rakyat banyak”.</w:t>
      </w:r>
    </w:p>
    <w:p w:rsidR="003E6D75" w:rsidRDefault="00066F77">
      <w:pPr>
        <w:spacing w:after="0" w:line="240" w:lineRule="auto"/>
        <w:jc w:val="both"/>
        <w:rPr>
          <w:rFonts w:ascii="Times New Roman" w:eastAsia="Calibri" w:hAnsi="Times New Roman"/>
        </w:rPr>
      </w:pPr>
      <w:r>
        <w:rPr>
          <w:rFonts w:ascii="Times New Roman" w:eastAsia="Calibri" w:hAnsi="Times New Roman"/>
        </w:rPr>
        <w:tab/>
        <w:t>Sementara itu, Kasmir (2010:11) menyatakan bahwa:</w:t>
      </w:r>
    </w:p>
    <w:p w:rsidR="003E6D75" w:rsidRDefault="00066F77">
      <w:pPr>
        <w:spacing w:after="0" w:line="240" w:lineRule="auto"/>
        <w:jc w:val="both"/>
        <w:rPr>
          <w:rFonts w:ascii="Times New Roman" w:eastAsia="Calibri" w:hAnsi="Times New Roman"/>
        </w:rPr>
      </w:pPr>
      <w:r>
        <w:rPr>
          <w:rFonts w:ascii="Times New Roman" w:eastAsia="Calibri" w:hAnsi="Times New Roman"/>
        </w:rPr>
        <w:t xml:space="preserve">“Bank adalah lembaga </w:t>
      </w:r>
      <w:r>
        <w:rPr>
          <w:rFonts w:ascii="Times New Roman" w:eastAsia="Calibri" w:hAnsi="Times New Roman"/>
        </w:rPr>
        <w:t>keuangan yang kegiatan utamanya adalah menghimpun dana dari masyarakat dan menyalurkannya kembali dana tersebut ke masyarakat serta memberikan jasa bank yang lainnya. Dari pengertian tersebut dapat disimpulkan bahwa bank adalah suatu lembaga yang menghimpu</w:t>
      </w:r>
      <w:r>
        <w:rPr>
          <w:rFonts w:ascii="Times New Roman" w:eastAsia="Calibri" w:hAnsi="Times New Roman"/>
        </w:rPr>
        <w:t>n dan menyalurkan dana dari dan ke masyarakat serta pada bank lainnya sesuai dengan ketentuan dan waktu yang telah ditetapkan.”</w:t>
      </w:r>
    </w:p>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Pengertian Bank Syariah</w:t>
      </w:r>
    </w:p>
    <w:p w:rsidR="003E6D75" w:rsidRDefault="00066F77">
      <w:pPr>
        <w:spacing w:after="0" w:line="240" w:lineRule="auto"/>
        <w:jc w:val="both"/>
        <w:rPr>
          <w:rFonts w:ascii="Times New Roman" w:eastAsia="Calibri" w:hAnsi="Times New Roman"/>
        </w:rPr>
      </w:pPr>
      <w:r>
        <w:rPr>
          <w:rFonts w:ascii="Times New Roman" w:eastAsia="Calibri" w:hAnsi="Times New Roman"/>
        </w:rPr>
        <w:tab/>
        <w:t xml:space="preserve">Menurut Undang-Undang Nomor 21 Tahun 2008 tentang perbankan syariah pasal 1 ayat 7,  menyatakan bahwa, </w:t>
      </w:r>
      <w:r>
        <w:rPr>
          <w:rFonts w:ascii="Times New Roman" w:eastAsia="Calibri" w:hAnsi="Times New Roman"/>
        </w:rPr>
        <w:t xml:space="preserve">“bank syariah adalah bank yang menjalankan kegiatan usahanya </w:t>
      </w:r>
      <w:r>
        <w:rPr>
          <w:rFonts w:ascii="Times New Roman" w:eastAsia="Calibri" w:hAnsi="Times New Roman"/>
        </w:rPr>
        <w:lastRenderedPageBreak/>
        <w:t>berdasarkan prinsip syariah dan menurut jenisnya terdiri atas Bank Umum Syariah (BUS) dan Bank Pembiayaan Rakyat Syariah (BPRS)”.</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Sementara itu, Ascarya (2007:5) menyatakan bahwa:</w:t>
      </w:r>
    </w:p>
    <w:p w:rsidR="003E6D75" w:rsidRDefault="00066F77">
      <w:pPr>
        <w:spacing w:after="0" w:line="240" w:lineRule="auto"/>
        <w:jc w:val="both"/>
        <w:rPr>
          <w:rFonts w:ascii="Times New Roman" w:eastAsia="Calibri" w:hAnsi="Times New Roman"/>
        </w:rPr>
      </w:pPr>
      <w:r>
        <w:rPr>
          <w:rFonts w:ascii="Times New Roman" w:eastAsia="Calibri" w:hAnsi="Times New Roman"/>
        </w:rPr>
        <w:t>”Bank syariah a</w:t>
      </w:r>
      <w:r>
        <w:rPr>
          <w:rFonts w:ascii="Times New Roman" w:eastAsia="Calibri" w:hAnsi="Times New Roman"/>
        </w:rPr>
        <w:t>dalah bank yang melaksanakan kegiatan usaha berdasarkan prinsip syariah, yaitu aturan perjanjian berdasarkan hukum islam antara bank atau pihak lain untuk menyimpan dana dan atau pembiayaan kegiatan usaha. Produk-produk bank syariah mempunyai kemiripan tet</w:t>
      </w:r>
      <w:r>
        <w:rPr>
          <w:rFonts w:ascii="Times New Roman" w:eastAsia="Calibri" w:hAnsi="Times New Roman"/>
        </w:rPr>
        <w:t xml:space="preserve">api tidak sama dengan bank konvensional karena adanya </w:t>
      </w:r>
      <w:r>
        <w:rPr>
          <w:rFonts w:ascii="Times New Roman" w:eastAsia="Calibri" w:hAnsi="Times New Roman"/>
          <w:i/>
          <w:iCs/>
        </w:rPr>
        <w:t xml:space="preserve">ribh, gharar, </w:t>
      </w:r>
      <w:r>
        <w:rPr>
          <w:rFonts w:ascii="Times New Roman" w:eastAsia="Calibri" w:hAnsi="Times New Roman"/>
        </w:rPr>
        <w:t>dan</w:t>
      </w:r>
      <w:r>
        <w:rPr>
          <w:rFonts w:ascii="Times New Roman" w:eastAsia="Calibri" w:hAnsi="Times New Roman"/>
          <w:i/>
          <w:iCs/>
        </w:rPr>
        <w:t xml:space="preserve"> masyir</w:t>
      </w:r>
      <w:r>
        <w:rPr>
          <w:rFonts w:ascii="Times New Roman" w:eastAsia="Calibri" w:hAnsi="Times New Roman"/>
        </w:rPr>
        <w:t>”.</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Sejalan dengan pendapat diatas, Sudarsono (2014:10) berpendapat:</w:t>
      </w:r>
    </w:p>
    <w:p w:rsidR="003E6D75" w:rsidRDefault="00066F77">
      <w:pPr>
        <w:spacing w:after="0" w:line="240" w:lineRule="auto"/>
        <w:jc w:val="both"/>
        <w:rPr>
          <w:rFonts w:ascii="Times New Roman" w:eastAsia="Calibri" w:hAnsi="Times New Roman"/>
        </w:rPr>
      </w:pPr>
      <w:r>
        <w:rPr>
          <w:rFonts w:ascii="Times New Roman" w:eastAsia="Calibri" w:hAnsi="Times New Roman"/>
        </w:rPr>
        <w:t>“Bahwa yang dimaksud dengan bank syariah ialah lembaga keuangan yang usaha pokoknya memberikan kredit dan jasa</w:t>
      </w:r>
      <w:r>
        <w:rPr>
          <w:rFonts w:ascii="Times New Roman" w:eastAsia="Calibri" w:hAnsi="Times New Roman"/>
        </w:rPr>
        <w:t>-jasa lain dalam lalu lintas pembayaran serta peredaran uang yang beroperasi dengan prinsip-prinsip syariah”.</w:t>
      </w:r>
    </w:p>
    <w:p w:rsidR="003E6D75" w:rsidRDefault="003E6D75">
      <w:pPr>
        <w:spacing w:after="0" w:line="240" w:lineRule="auto"/>
        <w:jc w:val="both"/>
        <w:rPr>
          <w:rFonts w:ascii="Times New Roman" w:hAnsi="Times New Roman" w:cs="Times New Roman"/>
          <w:b/>
        </w:rPr>
      </w:pPr>
    </w:p>
    <w:p w:rsidR="003E6D75" w:rsidRDefault="00066F77">
      <w:pPr>
        <w:spacing w:after="0" w:line="240" w:lineRule="auto"/>
        <w:jc w:val="both"/>
        <w:rPr>
          <w:rFonts w:ascii="Times New Roman" w:hAnsi="Times New Roman" w:cs="Times New Roman"/>
          <w:bCs/>
          <w:lang w:val="en-US"/>
        </w:rPr>
      </w:pPr>
      <w:r>
        <w:rPr>
          <w:rFonts w:ascii="Times New Roman" w:eastAsia="Calibri" w:hAnsi="Times New Roman"/>
          <w:b/>
          <w:bCs/>
        </w:rPr>
        <w:t>Hasil Penelitian</w:t>
      </w:r>
    </w:p>
    <w:p w:rsidR="003E6D75" w:rsidRDefault="00066F77">
      <w:pPr>
        <w:pStyle w:val="ListParagraph1"/>
        <w:spacing w:before="0" w:beforeAutospacing="0" w:after="0" w:afterAutospacing="0" w:line="240" w:lineRule="auto"/>
        <w:jc w:val="both"/>
        <w:rPr>
          <w:rFonts w:ascii="Times New Roman" w:hAnsi="Times New Roman"/>
          <w:b/>
          <w:bCs/>
          <w:sz w:val="22"/>
          <w:szCs w:val="22"/>
          <w:lang w:val="en-US"/>
        </w:rPr>
      </w:pPr>
      <w:r>
        <w:rPr>
          <w:rFonts w:ascii="Times New Roman" w:hAnsi="Times New Roman"/>
          <w:b/>
          <w:bCs/>
          <w:sz w:val="22"/>
          <w:szCs w:val="22"/>
          <w:lang w:val="en-US"/>
        </w:rPr>
        <w:t>Uji Normal P-Plot</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noProof/>
          <w:sz w:val="22"/>
          <w:szCs w:val="22"/>
        </w:rPr>
        <w:drawing>
          <wp:inline distT="0" distB="0" distL="0" distR="0">
            <wp:extent cx="3799840" cy="2816225"/>
            <wp:effectExtent l="0" t="0" r="1016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799840" cy="2816225"/>
                    </a:xfrm>
                    <a:prstGeom prst="rect">
                      <a:avLst/>
                    </a:prstGeom>
                    <a:noFill/>
                    <a:ln>
                      <a:noFill/>
                    </a:ln>
                  </pic:spPr>
                </pic:pic>
              </a:graphicData>
            </a:graphic>
          </wp:inline>
        </w:drawing>
      </w:r>
    </w:p>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Gambar 4.4</w:t>
      </w:r>
    </w:p>
    <w:p w:rsidR="003E6D75" w:rsidRDefault="00066F77">
      <w:pPr>
        <w:pStyle w:val="ListParagraph1"/>
        <w:spacing w:before="0" w:beforeAutospacing="0" w:after="0" w:afterAutospacing="0" w:line="240" w:lineRule="auto"/>
        <w:jc w:val="center"/>
        <w:rPr>
          <w:rFonts w:ascii="Times New Roman" w:hAnsi="Times New Roman"/>
          <w:b/>
          <w:bCs/>
          <w:i/>
          <w:sz w:val="22"/>
          <w:szCs w:val="22"/>
          <w:lang w:val="en-US"/>
        </w:rPr>
      </w:pPr>
      <w:r>
        <w:rPr>
          <w:rFonts w:ascii="Times New Roman" w:hAnsi="Times New Roman"/>
          <w:b/>
          <w:bCs/>
          <w:i/>
          <w:sz w:val="22"/>
          <w:szCs w:val="22"/>
          <w:lang w:val="en-US"/>
        </w:rPr>
        <w:t>Normal P-Plot of Regression Standardized residual</w:t>
      </w:r>
    </w:p>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 xml:space="preserve">Sumber: Data Sekunder yang diolah Menggunakan </w:t>
      </w:r>
      <w:r>
        <w:rPr>
          <w:rFonts w:ascii="Times New Roman" w:hAnsi="Times New Roman"/>
          <w:b/>
          <w:bCs/>
          <w:sz w:val="22"/>
          <w:szCs w:val="22"/>
          <w:lang w:val="en-US"/>
        </w:rPr>
        <w:t>SPSS 24 (201</w:t>
      </w:r>
      <w:r>
        <w:rPr>
          <w:rFonts w:ascii="Times New Roman" w:hAnsi="Times New Roman"/>
          <w:b/>
          <w:bCs/>
          <w:sz w:val="22"/>
          <w:szCs w:val="22"/>
        </w:rPr>
        <w:t>8</w:t>
      </w:r>
      <w:r>
        <w:rPr>
          <w:rFonts w:ascii="Times New Roman" w:hAnsi="Times New Roman"/>
          <w:b/>
          <w:bCs/>
          <w:sz w:val="22"/>
          <w:szCs w:val="22"/>
          <w:lang w:val="en-US"/>
        </w:rPr>
        <w:t>)</w:t>
      </w:r>
    </w:p>
    <w:p w:rsidR="003E6D75" w:rsidRDefault="003E6D75">
      <w:pPr>
        <w:pStyle w:val="ListParagraph1"/>
        <w:spacing w:before="0" w:beforeAutospacing="0" w:after="0" w:afterAutospacing="0" w:line="240" w:lineRule="auto"/>
        <w:jc w:val="center"/>
        <w:rPr>
          <w:rFonts w:ascii="Times New Roman" w:hAnsi="Times New Roman"/>
          <w:b/>
          <w:bCs/>
          <w:sz w:val="22"/>
          <w:szCs w:val="22"/>
          <w:lang w:val="en-US"/>
        </w:rPr>
      </w:pPr>
    </w:p>
    <w:p w:rsidR="003E6D75" w:rsidRDefault="00066F77">
      <w:pPr>
        <w:pStyle w:val="ListParagraph1"/>
        <w:spacing w:before="0" w:beforeAutospacing="0" w:after="0" w:afterAutospacing="0" w:line="240" w:lineRule="auto"/>
        <w:ind w:firstLine="720"/>
        <w:jc w:val="both"/>
        <w:rPr>
          <w:rFonts w:ascii="Times New Roman" w:hAnsi="Times New Roman"/>
          <w:bCs/>
          <w:sz w:val="22"/>
          <w:szCs w:val="22"/>
          <w:lang w:val="en-US"/>
        </w:rPr>
      </w:pPr>
      <w:r>
        <w:rPr>
          <w:rFonts w:ascii="Times New Roman" w:hAnsi="Times New Roman"/>
          <w:bCs/>
          <w:sz w:val="22"/>
          <w:szCs w:val="22"/>
          <w:lang w:val="en-US"/>
        </w:rPr>
        <w:t xml:space="preserve">Hasil dari pengujian normalitas data menggunakan metode </w:t>
      </w:r>
      <w:r>
        <w:rPr>
          <w:rFonts w:ascii="Times New Roman" w:hAnsi="Times New Roman"/>
          <w:bCs/>
          <w:i/>
          <w:sz w:val="22"/>
          <w:szCs w:val="22"/>
          <w:lang w:val="en-US"/>
        </w:rPr>
        <w:t xml:space="preserve">one sample Kolmogorov-smirnov </w:t>
      </w:r>
      <w:r>
        <w:rPr>
          <w:rFonts w:ascii="Times New Roman" w:hAnsi="Times New Roman"/>
          <w:bCs/>
          <w:sz w:val="22"/>
          <w:szCs w:val="22"/>
          <w:lang w:val="en-US"/>
        </w:rPr>
        <w:t>yang disajikan pada gambar 4.4 dapat diketahui bahwa data (titik-titik) menyebar disekitar garis diagonal dan megikuti arah garis diagonal yang menunjukka</w:t>
      </w:r>
      <w:r>
        <w:rPr>
          <w:rFonts w:ascii="Times New Roman" w:hAnsi="Times New Roman"/>
          <w:bCs/>
          <w:sz w:val="22"/>
          <w:szCs w:val="22"/>
          <w:lang w:val="en-US"/>
        </w:rPr>
        <w:t xml:space="preserve">n bahwa pola berdistribusi normal, maka model regresi memenuhi asumsi normalitas.dengan menggukana metode </w:t>
      </w:r>
      <w:r>
        <w:rPr>
          <w:rFonts w:ascii="Times New Roman" w:hAnsi="Times New Roman"/>
          <w:bCs/>
          <w:i/>
          <w:sz w:val="22"/>
          <w:szCs w:val="22"/>
          <w:lang w:val="en-US"/>
        </w:rPr>
        <w:t>one sample Kolmogorov-smirnov.</w:t>
      </w:r>
      <w:r>
        <w:rPr>
          <w:rFonts w:ascii="Times New Roman" w:hAnsi="Times New Roman"/>
          <w:bCs/>
          <w:sz w:val="22"/>
          <w:szCs w:val="22"/>
          <w:lang w:val="en-US"/>
        </w:rPr>
        <w:t>kriteria yang digunakan yang digunakan untuk penetapan kenormalan menurut priyanto (2012:151) adalah sebagai berikut:</w:t>
      </w:r>
    </w:p>
    <w:p w:rsidR="003E6D75" w:rsidRDefault="00066F77">
      <w:pPr>
        <w:pStyle w:val="ListParagraph1"/>
        <w:numPr>
          <w:ilvl w:val="0"/>
          <w:numId w:val="1"/>
        </w:numPr>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Ji</w:t>
      </w:r>
      <w:r>
        <w:rPr>
          <w:rFonts w:ascii="Times New Roman" w:hAnsi="Times New Roman"/>
          <w:bCs/>
          <w:sz w:val="22"/>
          <w:szCs w:val="22"/>
          <w:lang w:val="en-US"/>
        </w:rPr>
        <w:t>ka signifikansi yang diperoleh &gt;0,05 maka sampel berasal dari populasi yang didistribusi normal.</w:t>
      </w:r>
    </w:p>
    <w:p w:rsidR="003E6D75" w:rsidRDefault="00066F77">
      <w:pPr>
        <w:pStyle w:val="ListParagraph1"/>
        <w:numPr>
          <w:ilvl w:val="0"/>
          <w:numId w:val="1"/>
        </w:numPr>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Jika signifikansi yang diperoleh &lt;0,05 maka sampel bukan berasal dari populasi yang didistribusi normal.</w:t>
      </w:r>
    </w:p>
    <w:p w:rsidR="003E6D75" w:rsidRDefault="00066F77">
      <w:pPr>
        <w:spacing w:after="0" w:line="240" w:lineRule="auto"/>
        <w:jc w:val="both"/>
        <w:rPr>
          <w:rFonts w:ascii="Times New Roman" w:hAnsi="Times New Roman" w:cs="Times New Roman"/>
          <w:b/>
          <w:bCs/>
          <w:lang w:val="en-US"/>
        </w:rPr>
      </w:pPr>
      <w:r>
        <w:rPr>
          <w:rFonts w:ascii="Times New Roman" w:hAnsi="Times New Roman" w:cs="Times New Roman"/>
          <w:b/>
          <w:bCs/>
          <w:lang w:val="en-US"/>
        </w:rPr>
        <w:t xml:space="preserve">Uji </w:t>
      </w:r>
      <w:r>
        <w:rPr>
          <w:rFonts w:ascii="Times New Roman" w:hAnsi="Times New Roman" w:cs="Times New Roman"/>
          <w:b/>
          <w:bCs/>
          <w:i/>
          <w:lang w:val="en-US"/>
        </w:rPr>
        <w:t xml:space="preserve">Kolmogorov-smirnov </w:t>
      </w:r>
      <w:r>
        <w:rPr>
          <w:rFonts w:ascii="Times New Roman" w:hAnsi="Times New Roman" w:cs="Times New Roman"/>
          <w:b/>
          <w:bCs/>
          <w:lang w:val="en-US"/>
        </w:rPr>
        <w:t>(K-S)</w:t>
      </w:r>
    </w:p>
    <w:p w:rsidR="003E6D75" w:rsidRDefault="00066F77">
      <w:pPr>
        <w:spacing w:after="0" w:line="240" w:lineRule="auto"/>
        <w:jc w:val="center"/>
        <w:rPr>
          <w:rFonts w:ascii="Times New Roman" w:hAnsi="Times New Roman" w:cs="Times New Roman"/>
          <w:b/>
          <w:bCs/>
          <w:lang w:val="en-US"/>
        </w:rPr>
      </w:pPr>
      <w:r>
        <w:rPr>
          <w:rFonts w:ascii="Times New Roman" w:hAnsi="Times New Roman" w:cs="Times New Roman"/>
          <w:b/>
          <w:bCs/>
          <w:lang w:val="en-US"/>
        </w:rPr>
        <w:t>Tabel 4.4</w:t>
      </w:r>
    </w:p>
    <w:tbl>
      <w:tblPr>
        <w:tblpPr w:leftFromText="180" w:rightFromText="180" w:vertAnchor="text" w:horzAnchor="page" w:tblpX="3495" w:tblpY="40"/>
        <w:tblOverlap w:val="never"/>
        <w:tblW w:w="54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251"/>
        <w:gridCol w:w="1438"/>
        <w:gridCol w:w="1711"/>
      </w:tblGrid>
      <w:tr w:rsidR="003E6D75">
        <w:trPr>
          <w:cantSplit/>
        </w:trPr>
        <w:tc>
          <w:tcPr>
            <w:tcW w:w="5400" w:type="dxa"/>
            <w:gridSpan w:val="3"/>
            <w:tcBorders>
              <w:top w:val="nil"/>
              <w:left w:val="nil"/>
              <w:bottom w:val="single" w:sz="4" w:space="0" w:color="auto"/>
              <w:right w:val="nil"/>
            </w:tcBorders>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hAnsi="Times New Roman" w:cs="Times New Roman"/>
                <w:color w:val="010205"/>
                <w:lang w:val="en-US"/>
              </w:rPr>
            </w:pPr>
            <w:r>
              <w:rPr>
                <w:rFonts w:ascii="Times New Roman" w:hAnsi="Times New Roman" w:cs="Times New Roman"/>
                <w:b/>
                <w:bCs/>
                <w:color w:val="010205"/>
                <w:lang w:val="en-US"/>
              </w:rPr>
              <w:t xml:space="preserve">One-Sample </w:t>
            </w:r>
            <w:r>
              <w:rPr>
                <w:rFonts w:ascii="Times New Roman" w:hAnsi="Times New Roman" w:cs="Times New Roman"/>
                <w:b/>
                <w:bCs/>
                <w:color w:val="010205"/>
                <w:lang w:val="en-US"/>
              </w:rPr>
              <w:t>Kolmogorov-Smirnov Test</w:t>
            </w:r>
          </w:p>
        </w:tc>
      </w:tr>
      <w:tr w:rsidR="003E6D75">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3E6D75" w:rsidRDefault="003E6D75">
            <w:pPr>
              <w:autoSpaceDE w:val="0"/>
              <w:autoSpaceDN w:val="0"/>
              <w:adjustRightInd w:val="0"/>
              <w:spacing w:after="0" w:line="240" w:lineRule="auto"/>
              <w:rPr>
                <w:rFonts w:ascii="Times New Roman" w:hAnsi="Times New Roman" w:cs="Times New Roman"/>
                <w:lang w:val="en-US"/>
              </w:rPr>
            </w:pPr>
          </w:p>
        </w:tc>
        <w:tc>
          <w:tcPr>
            <w:tcW w:w="1711" w:type="dxa"/>
            <w:tcBorders>
              <w:top w:val="single" w:sz="4" w:space="0" w:color="auto"/>
              <w:left w:val="single" w:sz="4" w:space="0" w:color="auto"/>
              <w:bottom w:val="single" w:sz="4" w:space="0" w:color="auto"/>
              <w:right w:val="single" w:sz="4" w:space="0" w:color="auto"/>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Unstandardized Residual</w:t>
            </w:r>
          </w:p>
        </w:tc>
      </w:tr>
      <w:tr w:rsidR="003E6D75">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20</w:t>
            </w:r>
          </w:p>
        </w:tc>
      </w:tr>
      <w:tr w:rsidR="003E6D75">
        <w:trPr>
          <w:cantSplit/>
        </w:trPr>
        <w:tc>
          <w:tcPr>
            <w:tcW w:w="2251" w:type="dxa"/>
            <w:vMerge w:val="restart"/>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Normal Parameters</w:t>
            </w:r>
            <w:r>
              <w:rPr>
                <w:rFonts w:ascii="Times New Roman" w:hAnsi="Times New Roman" w:cs="Times New Roman"/>
                <w:color w:val="264A60"/>
                <w:vertAlign w:val="superscript"/>
                <w:lang w:val="en-US"/>
              </w:rPr>
              <w:t>a,b</w:t>
            </w: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Mean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.0000000</w:t>
            </w:r>
          </w:p>
        </w:tc>
      </w:tr>
      <w:tr w:rsidR="003E6D75">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Std. Deviation</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.08815380</w:t>
            </w:r>
          </w:p>
        </w:tc>
      </w:tr>
      <w:tr w:rsidR="003E6D75">
        <w:trPr>
          <w:cantSplit/>
        </w:trPr>
        <w:tc>
          <w:tcPr>
            <w:tcW w:w="2251" w:type="dxa"/>
            <w:vMerge w:val="restart"/>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lastRenderedPageBreak/>
              <w:t>Most Extreme Differences</w:t>
            </w: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Absolute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.128</w:t>
            </w:r>
          </w:p>
        </w:tc>
      </w:tr>
      <w:tr w:rsidR="003E6D75">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Positive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.106</w:t>
            </w:r>
          </w:p>
        </w:tc>
      </w:tr>
      <w:tr w:rsidR="003E6D75">
        <w:trPr>
          <w:cantSplit/>
        </w:trPr>
        <w:tc>
          <w:tcPr>
            <w:tcW w:w="2251" w:type="dxa"/>
            <w:vMerge/>
            <w:tcBorders>
              <w:top w:val="single" w:sz="4" w:space="0" w:color="auto"/>
              <w:left w:val="single" w:sz="4" w:space="0" w:color="auto"/>
              <w:bottom w:val="single" w:sz="4" w:space="0" w:color="auto"/>
              <w:right w:val="single" w:sz="4" w:space="0" w:color="auto"/>
            </w:tcBorders>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438"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Negative</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-.128</w:t>
            </w:r>
          </w:p>
        </w:tc>
      </w:tr>
      <w:tr w:rsidR="003E6D75">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Test Statistic</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.128</w:t>
            </w:r>
          </w:p>
        </w:tc>
      </w:tr>
      <w:tr w:rsidR="003E6D75">
        <w:trPr>
          <w:cantSplit/>
        </w:trPr>
        <w:tc>
          <w:tcPr>
            <w:tcW w:w="3689" w:type="dxa"/>
            <w:gridSpan w:val="2"/>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Asymp. Sig. (2-tailed)</w:t>
            </w:r>
          </w:p>
        </w:tc>
        <w:tc>
          <w:tcPr>
            <w:tcW w:w="1711"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.200</w:t>
            </w:r>
            <w:r>
              <w:rPr>
                <w:rFonts w:ascii="Times New Roman" w:hAnsi="Times New Roman" w:cs="Times New Roman"/>
                <w:color w:val="010205"/>
                <w:vertAlign w:val="superscript"/>
                <w:lang w:val="en-US"/>
              </w:rPr>
              <w:t>c,d</w:t>
            </w:r>
          </w:p>
        </w:tc>
      </w:tr>
      <w:tr w:rsidR="003E6D75">
        <w:trPr>
          <w:cantSplit/>
        </w:trPr>
        <w:tc>
          <w:tcPr>
            <w:tcW w:w="5400" w:type="dxa"/>
            <w:gridSpan w:val="3"/>
            <w:tcBorders>
              <w:top w:val="single" w:sz="4" w:space="0" w:color="auto"/>
              <w:left w:val="nil"/>
              <w:bottom w:val="nil"/>
              <w:right w:val="nil"/>
            </w:tcBorders>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 xml:space="preserve">a. Test </w:t>
            </w:r>
            <w:r>
              <w:rPr>
                <w:rFonts w:ascii="Times New Roman" w:hAnsi="Times New Roman" w:cs="Times New Roman"/>
                <w:color w:val="010205"/>
                <w:lang w:val="en-US"/>
              </w:rPr>
              <w:t>distribution is Normal.</w:t>
            </w:r>
          </w:p>
        </w:tc>
      </w:tr>
      <w:tr w:rsidR="003E6D75">
        <w:trPr>
          <w:cantSplit/>
        </w:trPr>
        <w:tc>
          <w:tcPr>
            <w:tcW w:w="5400" w:type="dxa"/>
            <w:gridSpan w:val="3"/>
            <w:tcBorders>
              <w:top w:val="nil"/>
              <w:left w:val="nil"/>
              <w:bottom w:val="nil"/>
              <w:right w:val="nil"/>
            </w:tcBorders>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b. Calculated from data.</w:t>
            </w:r>
          </w:p>
        </w:tc>
      </w:tr>
      <w:tr w:rsidR="003E6D75">
        <w:trPr>
          <w:cantSplit/>
        </w:trPr>
        <w:tc>
          <w:tcPr>
            <w:tcW w:w="5400" w:type="dxa"/>
            <w:gridSpan w:val="3"/>
            <w:tcBorders>
              <w:top w:val="nil"/>
              <w:left w:val="nil"/>
              <w:bottom w:val="nil"/>
              <w:right w:val="nil"/>
            </w:tcBorders>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c. Lilliefors Significance Correction.</w:t>
            </w:r>
          </w:p>
        </w:tc>
      </w:tr>
      <w:tr w:rsidR="003E6D75">
        <w:trPr>
          <w:cantSplit/>
        </w:trPr>
        <w:tc>
          <w:tcPr>
            <w:tcW w:w="5400" w:type="dxa"/>
            <w:gridSpan w:val="3"/>
            <w:tcBorders>
              <w:top w:val="nil"/>
              <w:left w:val="nil"/>
              <w:bottom w:val="nil"/>
              <w:right w:val="nil"/>
            </w:tcBorders>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d. This is a lower bound of the true significance.</w:t>
            </w:r>
          </w:p>
        </w:tc>
      </w:tr>
    </w:tbl>
    <w:p w:rsidR="003E6D75" w:rsidRDefault="003E6D75">
      <w:pPr>
        <w:spacing w:after="0" w:line="240" w:lineRule="auto"/>
        <w:jc w:val="both"/>
        <w:rPr>
          <w:rFonts w:ascii="Times New Roman" w:hAnsi="Times New Roman" w:cs="Times New Roman"/>
          <w:b/>
          <w:bCs/>
          <w:lang w:val="en-US"/>
        </w:rPr>
      </w:pPr>
    </w:p>
    <w:p w:rsidR="003E6D75" w:rsidRDefault="00066F77">
      <w:pPr>
        <w:spacing w:after="0" w:line="240" w:lineRule="auto"/>
        <w:jc w:val="both"/>
        <w:rPr>
          <w:rFonts w:ascii="Times New Roman" w:hAnsi="Times New Roman" w:cs="Times New Roman"/>
          <w:bCs/>
          <w:lang w:val="en-US"/>
        </w:rPr>
      </w:pPr>
      <w:r>
        <w:rPr>
          <w:rFonts w:ascii="Times New Roman" w:hAnsi="Times New Roman" w:cs="Times New Roman"/>
          <w:bCs/>
          <w:lang w:val="en-US"/>
        </w:rPr>
        <w:tab/>
        <w:t xml:space="preserve">Berdasarkan tabel 4.4 diatas dengan menggunakan metode </w:t>
      </w:r>
      <w:r>
        <w:rPr>
          <w:rFonts w:ascii="Times New Roman" w:hAnsi="Times New Roman" w:cs="Times New Roman"/>
          <w:bCs/>
          <w:i/>
          <w:lang w:val="en-US"/>
        </w:rPr>
        <w:t xml:space="preserve">Kolmogorov-smirnov test </w:t>
      </w:r>
      <w:r>
        <w:rPr>
          <w:rFonts w:ascii="Times New Roman" w:hAnsi="Times New Roman" w:cs="Times New Roman"/>
          <w:bCs/>
          <w:lang w:val="en-US"/>
        </w:rPr>
        <w:t>diperoleh niai signifikan =0,200</w:t>
      </w:r>
      <w:r>
        <w:rPr>
          <w:rFonts w:ascii="Times New Roman" w:hAnsi="Times New Roman" w:cs="Times New Roman"/>
          <w:bCs/>
          <w:lang w:val="en-US"/>
        </w:rPr>
        <w:t xml:space="preserve"> (sig&gt;0,05) maka dapat disimpulkan bahwa data berdistribusi normal dan memenuhi asumsi normalitas.</w:t>
      </w:r>
    </w:p>
    <w:p w:rsidR="003E6D75" w:rsidRDefault="00066F77">
      <w:pPr>
        <w:spacing w:after="0" w:line="240" w:lineRule="auto"/>
        <w:jc w:val="both"/>
        <w:rPr>
          <w:rFonts w:ascii="Times New Roman" w:hAnsi="Times New Roman" w:cs="Times New Roman"/>
          <w:bCs/>
          <w:lang w:val="en-US"/>
        </w:rPr>
      </w:pPr>
      <w:r>
        <w:rPr>
          <w:rFonts w:ascii="Times New Roman" w:hAnsi="Times New Roman" w:cs="Times New Roman"/>
          <w:bCs/>
          <w:lang w:val="en-US"/>
        </w:rPr>
        <w:t xml:space="preserve">Kesimpulan dari kedua kolom uji normalitas tersebut baik menggunakan uji normalitas P-Plot dan uji </w:t>
      </w:r>
      <w:r>
        <w:rPr>
          <w:rFonts w:ascii="Times New Roman" w:hAnsi="Times New Roman" w:cs="Times New Roman"/>
          <w:bCs/>
          <w:i/>
          <w:lang w:val="en-US"/>
        </w:rPr>
        <w:t xml:space="preserve">Kolmogorov-smirnov </w:t>
      </w:r>
      <w:r>
        <w:rPr>
          <w:rFonts w:ascii="Times New Roman" w:hAnsi="Times New Roman" w:cs="Times New Roman"/>
          <w:bCs/>
          <w:lang w:val="en-US"/>
        </w:rPr>
        <w:t>(K-S) menunjukkan bahwa data-data terse</w:t>
      </w:r>
      <w:r>
        <w:rPr>
          <w:rFonts w:ascii="Times New Roman" w:hAnsi="Times New Roman" w:cs="Times New Roman"/>
          <w:bCs/>
          <w:lang w:val="en-US"/>
        </w:rPr>
        <w:t>but berdistribusi normal.</w:t>
      </w:r>
    </w:p>
    <w:p w:rsidR="003E6D75" w:rsidRDefault="00066F77">
      <w:pPr>
        <w:pStyle w:val="ListParagraph1"/>
        <w:numPr>
          <w:ilvl w:val="0"/>
          <w:numId w:val="2"/>
        </w:numPr>
        <w:spacing w:before="0" w:beforeAutospacing="0" w:after="0" w:afterAutospacing="0" w:line="240" w:lineRule="auto"/>
        <w:ind w:left="0" w:firstLine="0"/>
        <w:jc w:val="both"/>
        <w:rPr>
          <w:rFonts w:ascii="Times New Roman" w:hAnsi="Times New Roman"/>
          <w:bCs/>
          <w:sz w:val="22"/>
          <w:szCs w:val="22"/>
          <w:lang w:val="en-US"/>
        </w:rPr>
      </w:pPr>
      <w:r>
        <w:rPr>
          <w:rFonts w:ascii="Times New Roman" w:hAnsi="Times New Roman"/>
          <w:bCs/>
          <w:sz w:val="22"/>
          <w:szCs w:val="22"/>
          <w:lang w:val="en-US"/>
        </w:rPr>
        <w:t>Uji Autokorelasi</w:t>
      </w:r>
    </w:p>
    <w:p w:rsidR="003E6D75" w:rsidRDefault="00066F77">
      <w:pPr>
        <w:pStyle w:val="ListParagraph1"/>
        <w:spacing w:before="0" w:beforeAutospacing="0" w:after="0" w:afterAutospacing="0" w:line="240" w:lineRule="auto"/>
        <w:ind w:firstLine="720"/>
        <w:jc w:val="both"/>
        <w:rPr>
          <w:rFonts w:ascii="Times New Roman" w:hAnsi="Times New Roman"/>
          <w:bCs/>
          <w:i/>
          <w:sz w:val="22"/>
          <w:szCs w:val="22"/>
          <w:lang w:val="en-US"/>
        </w:rPr>
      </w:pPr>
      <w:r>
        <w:rPr>
          <w:rFonts w:ascii="Times New Roman" w:hAnsi="Times New Roman"/>
          <w:bCs/>
          <w:sz w:val="22"/>
          <w:szCs w:val="22"/>
          <w:lang w:val="en-US"/>
        </w:rPr>
        <w:t>Menurut Priyanto (2012:172) autokorelasi adalah keadaan dimana pada model regresi ada korelasi antara residual pada periode t dengan residual pada periode sebelumnya (t-1). Model regresi yang baik adalah yang tidak terdapat masalah autokorelasi. Metode ini</w:t>
      </w:r>
      <w:r>
        <w:rPr>
          <w:rFonts w:ascii="Times New Roman" w:hAnsi="Times New Roman"/>
          <w:bCs/>
          <w:sz w:val="22"/>
          <w:szCs w:val="22"/>
          <w:lang w:val="en-US"/>
        </w:rPr>
        <w:t xml:space="preserve"> menggunakan uji </w:t>
      </w:r>
      <w:r>
        <w:rPr>
          <w:rFonts w:ascii="Times New Roman" w:hAnsi="Times New Roman"/>
          <w:bCs/>
          <w:i/>
          <w:sz w:val="22"/>
          <w:szCs w:val="22"/>
          <w:lang w:val="en-US"/>
        </w:rPr>
        <w:t>runs test.</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Kriteria </w:t>
      </w:r>
      <w:r>
        <w:rPr>
          <w:rFonts w:ascii="Times New Roman" w:hAnsi="Times New Roman"/>
          <w:bCs/>
          <w:i/>
          <w:sz w:val="22"/>
          <w:szCs w:val="22"/>
          <w:lang w:val="en-US"/>
        </w:rPr>
        <w:t>Runs test:</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Ho: residual (res_1) random (acak)</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H</w:t>
      </w:r>
      <w:r>
        <w:rPr>
          <w:rFonts w:ascii="Times New Roman" w:hAnsi="Times New Roman"/>
          <w:bCs/>
          <w:sz w:val="22"/>
          <w:szCs w:val="22"/>
          <w:vertAlign w:val="subscript"/>
        </w:rPr>
        <w:t>1</w:t>
      </w:r>
      <w:r>
        <w:rPr>
          <w:rFonts w:ascii="Times New Roman" w:hAnsi="Times New Roman"/>
          <w:bCs/>
          <w:sz w:val="22"/>
          <w:szCs w:val="22"/>
          <w:lang w:val="en-US"/>
        </w:rPr>
        <w:t>: residual (res_1) tidak random</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Jika hasil uji </w:t>
      </w:r>
      <w:r>
        <w:rPr>
          <w:rFonts w:ascii="Times New Roman" w:hAnsi="Times New Roman"/>
          <w:bCs/>
          <w:i/>
          <w:sz w:val="22"/>
          <w:szCs w:val="22"/>
          <w:lang w:val="en-US"/>
        </w:rPr>
        <w:t xml:space="preserve">Runs test </w:t>
      </w:r>
      <w:r>
        <w:rPr>
          <w:rFonts w:ascii="Times New Roman" w:hAnsi="Times New Roman"/>
          <w:bCs/>
          <w:sz w:val="22"/>
          <w:szCs w:val="22"/>
          <w:lang w:val="en-US"/>
        </w:rPr>
        <w:t>menunjukan nilai profitabilitas ≤ α = 0,05 maka hipotesis nol ditolak sehingga dapat disimpulkan bahwa residual ti</w:t>
      </w:r>
      <w:r>
        <w:rPr>
          <w:rFonts w:ascii="Times New Roman" w:hAnsi="Times New Roman"/>
          <w:bCs/>
          <w:sz w:val="22"/>
          <w:szCs w:val="22"/>
          <w:lang w:val="en-US"/>
        </w:rPr>
        <w:t>dak random atau tidak terjadi autokorelasi antar nilai residual.</w:t>
      </w:r>
    </w:p>
    <w:p w:rsidR="003E6D75" w:rsidRDefault="00066F77">
      <w:pPr>
        <w:pStyle w:val="ListParagraph1"/>
        <w:spacing w:before="0" w:beforeAutospacing="0" w:after="0" w:afterAutospacing="0" w:line="240" w:lineRule="auto"/>
        <w:jc w:val="both"/>
        <w:rPr>
          <w:rFonts w:ascii="Times New Roman" w:hAnsi="Times New Roman"/>
          <w:bCs/>
          <w:sz w:val="22"/>
          <w:szCs w:val="22"/>
          <w:lang w:val="fr-FR"/>
        </w:rPr>
      </w:pPr>
      <w:r>
        <w:rPr>
          <w:rFonts w:ascii="Times New Roman" w:hAnsi="Times New Roman"/>
          <w:bCs/>
          <w:sz w:val="22"/>
          <w:szCs w:val="22"/>
          <w:lang w:val="en-US"/>
        </w:rPr>
        <w:tab/>
      </w:r>
      <w:r>
        <w:rPr>
          <w:rFonts w:ascii="Times New Roman" w:hAnsi="Times New Roman"/>
          <w:bCs/>
          <w:sz w:val="22"/>
          <w:szCs w:val="22"/>
          <w:lang w:val="fr-FR"/>
        </w:rPr>
        <w:t>Hasil uji autokorelasi dapat dilihat pada table 4.5 berikut:</w:t>
      </w:r>
    </w:p>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Table 4.5</w:t>
      </w:r>
    </w:p>
    <w:tbl>
      <w:tblPr>
        <w:tblW w:w="5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065"/>
        <w:gridCol w:w="3695"/>
      </w:tblGrid>
      <w:tr w:rsidR="003E6D75">
        <w:trPr>
          <w:cantSplit/>
          <w:jc w:val="center"/>
        </w:trPr>
        <w:tc>
          <w:tcPr>
            <w:tcW w:w="5760" w:type="dxa"/>
            <w:gridSpan w:val="2"/>
            <w:tcBorders>
              <w:top w:val="nil"/>
              <w:left w:val="nil"/>
              <w:bottom w:val="nil"/>
              <w:right w:val="nil"/>
            </w:tcBorders>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hAnsi="Times New Roman" w:cs="Times New Roman"/>
                <w:b/>
                <w:color w:val="010205"/>
                <w:lang w:val="en-US"/>
              </w:rPr>
            </w:pPr>
            <w:r>
              <w:rPr>
                <w:rFonts w:ascii="Times New Roman" w:hAnsi="Times New Roman" w:cs="Times New Roman"/>
                <w:b/>
                <w:bCs/>
                <w:color w:val="010205"/>
                <w:lang w:val="en-US"/>
              </w:rPr>
              <w:t>Runs Test</w:t>
            </w:r>
          </w:p>
        </w:tc>
      </w:tr>
      <w:tr w:rsidR="003E6D75">
        <w:trPr>
          <w:cantSplit/>
          <w:jc w:val="center"/>
        </w:trPr>
        <w:tc>
          <w:tcPr>
            <w:tcW w:w="2065" w:type="dxa"/>
            <w:tcBorders>
              <w:top w:val="nil"/>
              <w:left w:val="nil"/>
              <w:bottom w:val="single" w:sz="4" w:space="0" w:color="auto"/>
              <w:right w:val="nil"/>
            </w:tcBorders>
            <w:shd w:val="clear" w:color="auto" w:fill="FFFFFF"/>
            <w:vAlign w:val="bottom"/>
          </w:tcPr>
          <w:p w:rsidR="003E6D75" w:rsidRDefault="003E6D75">
            <w:pPr>
              <w:autoSpaceDE w:val="0"/>
              <w:autoSpaceDN w:val="0"/>
              <w:adjustRightInd w:val="0"/>
              <w:spacing w:after="0" w:line="240" w:lineRule="auto"/>
              <w:rPr>
                <w:rFonts w:ascii="Times New Roman" w:hAnsi="Times New Roman" w:cs="Times New Roman"/>
                <w:lang w:val="en-US"/>
              </w:rPr>
            </w:pPr>
          </w:p>
        </w:tc>
        <w:tc>
          <w:tcPr>
            <w:tcW w:w="3695" w:type="dxa"/>
            <w:tcBorders>
              <w:top w:val="nil"/>
              <w:left w:val="nil"/>
              <w:bottom w:val="single" w:sz="4" w:space="0" w:color="auto"/>
              <w:right w:val="nil"/>
            </w:tcBorders>
            <w:shd w:val="clear" w:color="auto" w:fill="FFFFFF"/>
            <w:vAlign w:val="bottom"/>
          </w:tcPr>
          <w:p w:rsidR="003E6D75" w:rsidRDefault="00066F77">
            <w:pPr>
              <w:autoSpaceDE w:val="0"/>
              <w:autoSpaceDN w:val="0"/>
              <w:adjustRightInd w:val="0"/>
              <w:spacing w:after="0" w:line="240" w:lineRule="auto"/>
              <w:ind w:left="-487" w:right="60" w:firstLine="2104"/>
              <w:jc w:val="center"/>
              <w:rPr>
                <w:rFonts w:ascii="Times New Roman" w:hAnsi="Times New Roman" w:cs="Times New Roman"/>
                <w:color w:val="264A60"/>
                <w:lang w:val="en-US"/>
              </w:rPr>
            </w:pPr>
            <w:r>
              <w:rPr>
                <w:rFonts w:ascii="Times New Roman" w:hAnsi="Times New Roman" w:cs="Times New Roman"/>
                <w:color w:val="264A60"/>
                <w:lang w:val="en-US"/>
              </w:rPr>
              <w:t>Unstandardize Residual</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Test Value</w:t>
            </w:r>
            <w:r>
              <w:rPr>
                <w:rFonts w:ascii="Times New Roman" w:hAnsi="Times New Roman" w:cs="Times New Roman"/>
                <w:color w:val="264A60"/>
                <w:vertAlign w:val="superscript"/>
                <w:lang w:val="en-US"/>
              </w:rPr>
              <w:t>a</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.01642</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Cases &lt; Test Value</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10</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Cases &gt;= Test Value</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10</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Total Cases</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20</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Number of Runs</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wordWrap w:val="0"/>
              <w:autoSpaceDE w:val="0"/>
              <w:autoSpaceDN w:val="0"/>
              <w:adjustRightInd w:val="0"/>
              <w:spacing w:after="0" w:line="240" w:lineRule="auto"/>
              <w:ind w:left="60" w:right="-688"/>
              <w:jc w:val="right"/>
              <w:rPr>
                <w:rFonts w:ascii="Times New Roman" w:hAnsi="Times New Roman" w:cs="Times New Roman"/>
                <w:color w:val="010205"/>
              </w:rPr>
            </w:pPr>
            <w:r>
              <w:rPr>
                <w:rFonts w:ascii="Times New Roman" w:hAnsi="Times New Roman" w:cs="Times New Roman"/>
                <w:color w:val="010205"/>
              </w:rPr>
              <w:t xml:space="preserve">      10               </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Z</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-.230</w:t>
            </w:r>
          </w:p>
        </w:tc>
      </w:tr>
      <w:tr w:rsidR="003E6D75">
        <w:trPr>
          <w:cantSplit/>
          <w:jc w:val="center"/>
        </w:trPr>
        <w:tc>
          <w:tcPr>
            <w:tcW w:w="2065" w:type="dxa"/>
            <w:tcBorders>
              <w:top w:val="single" w:sz="4" w:space="0" w:color="auto"/>
              <w:left w:val="single" w:sz="4" w:space="0" w:color="auto"/>
              <w:bottom w:val="single" w:sz="4" w:space="0" w:color="auto"/>
              <w:right w:val="single" w:sz="4" w:space="0" w:color="auto"/>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Asymp. Sig. (2-tailed)</w:t>
            </w:r>
          </w:p>
        </w:tc>
        <w:tc>
          <w:tcPr>
            <w:tcW w:w="3695" w:type="dxa"/>
            <w:tcBorders>
              <w:top w:val="single" w:sz="4" w:space="0" w:color="auto"/>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.818</w:t>
            </w:r>
          </w:p>
        </w:tc>
      </w:tr>
      <w:tr w:rsidR="003E6D75">
        <w:trPr>
          <w:cantSplit/>
          <w:trHeight w:val="359"/>
          <w:jc w:val="center"/>
        </w:trPr>
        <w:tc>
          <w:tcPr>
            <w:tcW w:w="5760" w:type="dxa"/>
            <w:gridSpan w:val="2"/>
            <w:tcBorders>
              <w:top w:val="single" w:sz="4" w:space="0" w:color="auto"/>
              <w:left w:val="nil"/>
              <w:bottom w:val="nil"/>
              <w:right w:val="nil"/>
            </w:tcBorders>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a. Median</w:t>
            </w:r>
          </w:p>
        </w:tc>
      </w:tr>
    </w:tbl>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Sumber: Data Sekunder yang Diolah Menggunakan SPSS 24 (201</w:t>
      </w:r>
      <w:r>
        <w:rPr>
          <w:rFonts w:ascii="Times New Roman" w:hAnsi="Times New Roman"/>
          <w:b/>
          <w:bCs/>
          <w:sz w:val="22"/>
          <w:szCs w:val="22"/>
        </w:rPr>
        <w:t>8</w:t>
      </w:r>
      <w:r>
        <w:rPr>
          <w:rFonts w:ascii="Times New Roman" w:hAnsi="Times New Roman"/>
          <w:b/>
          <w:bCs/>
          <w:sz w:val="22"/>
          <w:szCs w:val="22"/>
          <w:lang w:val="en-US"/>
        </w:rPr>
        <w:t>)</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Dari hasil tabel 4.5 yang disajikan diatas, pada kolom </w:t>
      </w:r>
      <w:r>
        <w:rPr>
          <w:rFonts w:ascii="Times New Roman" w:hAnsi="Times New Roman"/>
          <w:bCs/>
          <w:i/>
          <w:sz w:val="22"/>
          <w:szCs w:val="22"/>
          <w:lang w:val="en-US"/>
        </w:rPr>
        <w:t>Asymp. Sig. (2-tailed)</w:t>
      </w:r>
      <w:r>
        <w:rPr>
          <w:rFonts w:ascii="Times New Roman" w:hAnsi="Times New Roman"/>
          <w:bCs/>
          <w:sz w:val="22"/>
          <w:szCs w:val="22"/>
          <w:lang w:val="en-US"/>
        </w:rPr>
        <w:t xml:space="preserve"> adalah 0.818 berarti dapat disimpulkan tidak terjadi autokorelasi karena telah memenuhi kriteria yaitu </w:t>
      </w:r>
      <w:r>
        <w:rPr>
          <w:rFonts w:ascii="Times New Roman" w:hAnsi="Times New Roman"/>
          <w:bCs/>
          <w:i/>
          <w:sz w:val="22"/>
          <w:szCs w:val="22"/>
          <w:lang w:val="en-US"/>
        </w:rPr>
        <w:t>Asymp. Sig. (2-tailed)</w:t>
      </w:r>
      <w:r>
        <w:rPr>
          <w:rFonts w:ascii="Times New Roman" w:hAnsi="Times New Roman"/>
          <w:bCs/>
          <w:sz w:val="22"/>
          <w:szCs w:val="22"/>
          <w:lang w:val="en-US"/>
        </w:rPr>
        <w:t xml:space="preserve"> &gt; 0.05. </w:t>
      </w:r>
    </w:p>
    <w:p w:rsidR="003E6D75" w:rsidRDefault="00066F77">
      <w:pPr>
        <w:pStyle w:val="ListParagraph1"/>
        <w:numPr>
          <w:ilvl w:val="0"/>
          <w:numId w:val="2"/>
        </w:numPr>
        <w:spacing w:before="0" w:beforeAutospacing="0" w:after="0" w:afterAutospacing="0" w:line="240" w:lineRule="auto"/>
        <w:ind w:left="0" w:firstLine="0"/>
        <w:jc w:val="both"/>
        <w:rPr>
          <w:rFonts w:ascii="Times New Roman" w:hAnsi="Times New Roman"/>
          <w:bCs/>
          <w:sz w:val="22"/>
          <w:szCs w:val="22"/>
          <w:lang w:val="en-US"/>
        </w:rPr>
      </w:pPr>
      <w:r>
        <w:rPr>
          <w:rFonts w:ascii="Times New Roman" w:hAnsi="Times New Roman"/>
          <w:bCs/>
          <w:sz w:val="22"/>
          <w:szCs w:val="22"/>
          <w:lang w:val="en-US"/>
        </w:rPr>
        <w:t>Uji heteroskedastisitas</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Menurut Prianto ( 2012: 158), uji heteroskedastisitas adalah keadaan dimana dalam model regresi </w:t>
      </w:r>
      <w:r>
        <w:rPr>
          <w:rFonts w:ascii="Times New Roman" w:hAnsi="Times New Roman"/>
          <w:bCs/>
          <w:sz w:val="22"/>
          <w:szCs w:val="22"/>
          <w:lang w:val="en-US"/>
        </w:rPr>
        <w:t xml:space="preserve">terjadi ketidaksamaan varian dari residual pada satu pengamatan kepengamatan lain. Model regresi yang baik adalah tidak terjadi heteroskedastisitas. Dalam penelitian ini, penulis menggunakan grafik </w:t>
      </w:r>
      <w:r>
        <w:rPr>
          <w:rFonts w:ascii="Times New Roman" w:hAnsi="Times New Roman"/>
          <w:bCs/>
          <w:i/>
          <w:sz w:val="22"/>
          <w:szCs w:val="22"/>
          <w:lang w:val="en-US"/>
        </w:rPr>
        <w:t>scatterplot</w:t>
      </w:r>
      <w:r>
        <w:rPr>
          <w:rFonts w:ascii="Times New Roman" w:hAnsi="Times New Roman"/>
          <w:bCs/>
          <w:sz w:val="22"/>
          <w:szCs w:val="22"/>
          <w:lang w:val="en-US"/>
        </w:rPr>
        <w:t xml:space="preserve"> untuk mengetahui ada atau tidaknya heteroskeda</w:t>
      </w:r>
      <w:r>
        <w:rPr>
          <w:rFonts w:ascii="Times New Roman" w:hAnsi="Times New Roman"/>
          <w:bCs/>
          <w:sz w:val="22"/>
          <w:szCs w:val="22"/>
          <w:lang w:val="en-US"/>
        </w:rPr>
        <w:t xml:space="preserve">stisitas. Metode ini dilakukan dengan cara melihat grafik </w:t>
      </w:r>
      <w:r>
        <w:rPr>
          <w:rFonts w:ascii="Times New Roman" w:hAnsi="Times New Roman"/>
          <w:bCs/>
          <w:i/>
          <w:sz w:val="22"/>
          <w:szCs w:val="22"/>
          <w:lang w:val="en-US"/>
        </w:rPr>
        <w:t>scatterplot</w:t>
      </w:r>
      <w:r>
        <w:rPr>
          <w:rFonts w:ascii="Times New Roman" w:hAnsi="Times New Roman"/>
          <w:bCs/>
          <w:sz w:val="22"/>
          <w:szCs w:val="22"/>
          <w:lang w:val="en-US"/>
        </w:rPr>
        <w:t xml:space="preserve"> antara </w:t>
      </w:r>
      <w:r>
        <w:rPr>
          <w:rFonts w:ascii="Times New Roman" w:hAnsi="Times New Roman"/>
          <w:bCs/>
          <w:i/>
          <w:sz w:val="22"/>
          <w:szCs w:val="22"/>
          <w:lang w:val="en-US"/>
        </w:rPr>
        <w:t xml:space="preserve">standardized predicted value </w:t>
      </w:r>
      <w:r>
        <w:rPr>
          <w:rFonts w:ascii="Times New Roman" w:hAnsi="Times New Roman"/>
          <w:bCs/>
          <w:sz w:val="22"/>
          <w:szCs w:val="22"/>
          <w:lang w:val="en-US"/>
        </w:rPr>
        <w:t xml:space="preserve">(ZPRED) dengan </w:t>
      </w:r>
      <w:r>
        <w:rPr>
          <w:rFonts w:ascii="Times New Roman" w:hAnsi="Times New Roman"/>
          <w:bCs/>
          <w:i/>
          <w:sz w:val="22"/>
          <w:szCs w:val="22"/>
          <w:lang w:val="en-US"/>
        </w:rPr>
        <w:t>studentized residual</w:t>
      </w:r>
      <w:r>
        <w:rPr>
          <w:rFonts w:ascii="Times New Roman" w:hAnsi="Times New Roman"/>
          <w:bCs/>
          <w:sz w:val="22"/>
          <w:szCs w:val="22"/>
          <w:lang w:val="en-US"/>
        </w:rPr>
        <w:t xml:space="preserve"> ( SRESID), ada tidaknya pola tertentu pada grafik </w:t>
      </w:r>
      <w:r>
        <w:rPr>
          <w:rFonts w:ascii="Times New Roman" w:hAnsi="Times New Roman"/>
          <w:bCs/>
          <w:i/>
          <w:sz w:val="22"/>
          <w:szCs w:val="22"/>
          <w:lang w:val="en-US"/>
        </w:rPr>
        <w:lastRenderedPageBreak/>
        <w:t>scatterplot</w:t>
      </w:r>
      <w:r>
        <w:rPr>
          <w:rFonts w:ascii="Times New Roman" w:hAnsi="Times New Roman"/>
          <w:bCs/>
          <w:sz w:val="22"/>
          <w:szCs w:val="22"/>
          <w:lang w:val="en-US"/>
        </w:rPr>
        <w:t xml:space="preserve"> antara SPRESID dan ZPRED dimana sumbu Y adalah Y yang telah diprediksi dan sumbu X adalah residual ( Y prediksi – Y sesungguhnya).</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Dasar pengambilan keputusan yaitu:</w:t>
      </w:r>
    </w:p>
    <w:p w:rsidR="003E6D75" w:rsidRDefault="00066F77">
      <w:pPr>
        <w:pStyle w:val="ListParagraph1"/>
        <w:numPr>
          <w:ilvl w:val="0"/>
          <w:numId w:val="3"/>
        </w:numPr>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Jika ada pola tertentu, seperti titik-titik yang ada membentuk suatu pola tertetu yang </w:t>
      </w:r>
      <w:r>
        <w:rPr>
          <w:rFonts w:ascii="Times New Roman" w:hAnsi="Times New Roman"/>
          <w:bCs/>
          <w:sz w:val="22"/>
          <w:szCs w:val="22"/>
          <w:lang w:val="en-US"/>
        </w:rPr>
        <w:t>teratur (bergelombang, melebar keudian menyempit), maka terjadi heteroskedastisitas.</w:t>
      </w:r>
    </w:p>
    <w:p w:rsidR="003E6D75" w:rsidRDefault="00066F77">
      <w:pPr>
        <w:pStyle w:val="ListParagraph1"/>
        <w:numPr>
          <w:ilvl w:val="0"/>
          <w:numId w:val="3"/>
        </w:numPr>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Jia tidak ada pola yang jelas, seperti titik-titik menyebar diatas dan dibawah angka 0 pada sumbu Y, maka tidak terjadi heteroskedastisitas. Hasil uji heteroskedastisitas </w:t>
      </w:r>
      <w:r>
        <w:rPr>
          <w:rFonts w:ascii="Times New Roman" w:hAnsi="Times New Roman"/>
          <w:bCs/>
          <w:sz w:val="22"/>
          <w:szCs w:val="22"/>
          <w:lang w:val="en-US"/>
        </w:rPr>
        <w:t>dapat dilihat pada gambar 4.5:</w:t>
      </w:r>
    </w:p>
    <w:p w:rsidR="003E6D75" w:rsidRDefault="00066F77">
      <w:pPr>
        <w:pStyle w:val="ListParagraph1"/>
        <w:spacing w:before="0" w:beforeAutospacing="0" w:after="0" w:afterAutospacing="0" w:line="240" w:lineRule="auto"/>
        <w:jc w:val="center"/>
        <w:rPr>
          <w:rFonts w:ascii="Times New Roman" w:hAnsi="Times New Roman"/>
          <w:bCs/>
          <w:sz w:val="22"/>
          <w:szCs w:val="22"/>
          <w:lang w:val="en-US"/>
        </w:rPr>
      </w:pPr>
      <w:r>
        <w:rPr>
          <w:rFonts w:ascii="Times New Roman" w:hAnsi="Times New Roman"/>
          <w:noProof/>
          <w:sz w:val="22"/>
          <w:szCs w:val="22"/>
        </w:rPr>
        <w:drawing>
          <wp:inline distT="0" distB="0" distL="0" distR="0">
            <wp:extent cx="3239770" cy="2406015"/>
            <wp:effectExtent l="0" t="0" r="17780" b="133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239770" cy="2406015"/>
                    </a:xfrm>
                    <a:prstGeom prst="rect">
                      <a:avLst/>
                    </a:prstGeom>
                    <a:noFill/>
                    <a:ln>
                      <a:noFill/>
                    </a:ln>
                  </pic:spPr>
                </pic:pic>
              </a:graphicData>
            </a:graphic>
          </wp:inline>
        </w:drawing>
      </w:r>
    </w:p>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Gambar 4.5</w:t>
      </w:r>
    </w:p>
    <w:p w:rsidR="003E6D75" w:rsidRDefault="00066F77">
      <w:pPr>
        <w:pStyle w:val="ListParagraph1"/>
        <w:spacing w:before="0" w:beforeAutospacing="0" w:after="0" w:afterAutospacing="0" w:line="240" w:lineRule="auto"/>
        <w:jc w:val="center"/>
        <w:rPr>
          <w:rFonts w:ascii="Times New Roman" w:hAnsi="Times New Roman"/>
          <w:b/>
          <w:bCs/>
          <w:i/>
          <w:sz w:val="22"/>
          <w:szCs w:val="22"/>
          <w:lang w:val="en-US"/>
        </w:rPr>
      </w:pPr>
      <w:r>
        <w:rPr>
          <w:rFonts w:ascii="Times New Roman" w:hAnsi="Times New Roman"/>
          <w:b/>
          <w:bCs/>
          <w:i/>
          <w:sz w:val="22"/>
          <w:szCs w:val="22"/>
          <w:lang w:val="en-US"/>
        </w:rPr>
        <w:t xml:space="preserve">Scatterplot </w:t>
      </w:r>
    </w:p>
    <w:p w:rsidR="003E6D75" w:rsidRDefault="00066F77">
      <w:pPr>
        <w:pStyle w:val="ListParagraph1"/>
        <w:spacing w:before="0" w:beforeAutospacing="0" w:after="0" w:afterAutospacing="0" w:line="240" w:lineRule="auto"/>
        <w:ind w:firstLine="720"/>
        <w:jc w:val="both"/>
        <w:rPr>
          <w:rFonts w:ascii="Times New Roman" w:hAnsi="Times New Roman"/>
          <w:bCs/>
          <w:sz w:val="22"/>
          <w:szCs w:val="22"/>
          <w:lang w:val="en-US"/>
        </w:rPr>
      </w:pPr>
      <w:r>
        <w:rPr>
          <w:rFonts w:ascii="Times New Roman" w:hAnsi="Times New Roman"/>
          <w:bCs/>
          <w:sz w:val="22"/>
          <w:szCs w:val="22"/>
          <w:lang w:val="en-US"/>
        </w:rPr>
        <w:t>Dari gambar 4.4 dapat diketahui bahwa data (titik-titik) menyebar secara acak serta tersebar di atas dan di bawah angka 0 pada sumbu Y, maka dapat disimpulkan bahwa tidak terjadi masalah heteroskedas</w:t>
      </w:r>
      <w:r>
        <w:rPr>
          <w:rFonts w:ascii="Times New Roman" w:hAnsi="Times New Roman"/>
          <w:bCs/>
          <w:sz w:val="22"/>
          <w:szCs w:val="22"/>
          <w:lang w:val="en-US"/>
        </w:rPr>
        <w:t>tisitas pada model regresi.</w:t>
      </w:r>
    </w:p>
    <w:p w:rsidR="003E6D75" w:rsidRDefault="00066F77">
      <w:pPr>
        <w:pStyle w:val="ListParagraph1"/>
        <w:numPr>
          <w:ilvl w:val="0"/>
          <w:numId w:val="2"/>
        </w:numPr>
        <w:spacing w:before="0" w:beforeAutospacing="0" w:after="0" w:afterAutospacing="0" w:line="240" w:lineRule="auto"/>
        <w:ind w:left="0" w:firstLine="0"/>
        <w:jc w:val="both"/>
        <w:rPr>
          <w:rFonts w:ascii="Times New Roman" w:hAnsi="Times New Roman"/>
          <w:bCs/>
          <w:sz w:val="22"/>
          <w:szCs w:val="22"/>
          <w:lang w:val="en-US"/>
        </w:rPr>
      </w:pPr>
      <w:r>
        <w:rPr>
          <w:rFonts w:ascii="Times New Roman" w:hAnsi="Times New Roman"/>
          <w:bCs/>
          <w:sz w:val="22"/>
          <w:szCs w:val="22"/>
          <w:lang w:val="en-US"/>
        </w:rPr>
        <w:t>Uji Multikorelasi</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Multikoliniearitas adalah keadaan dimana pada model regresi ditemukan adanya korelasi yang sempurna atau mendekati sempurna antar variable independen. Pada model regresi yang baik harusnya tidak terjadi korelas</w:t>
      </w:r>
      <w:r>
        <w:rPr>
          <w:rFonts w:ascii="Times New Roman" w:hAnsi="Times New Roman"/>
          <w:bCs/>
          <w:sz w:val="22"/>
          <w:szCs w:val="22"/>
          <w:lang w:val="en-US"/>
        </w:rPr>
        <w:t xml:space="preserve">i yang sempurna atau mendekati sempurna diantara variable bebas ( korelasinya 1 atau mendekati 1 ). Beberapa metode uji multikoliniearitas yaitu dengan melihat nilai </w:t>
      </w:r>
      <w:r>
        <w:rPr>
          <w:rFonts w:ascii="Times New Roman" w:hAnsi="Times New Roman"/>
          <w:bCs/>
          <w:i/>
          <w:sz w:val="22"/>
          <w:szCs w:val="22"/>
          <w:lang w:val="en-US"/>
        </w:rPr>
        <w:t>tolerance</w:t>
      </w:r>
      <w:r>
        <w:rPr>
          <w:rFonts w:ascii="Times New Roman" w:hAnsi="Times New Roman"/>
          <w:bCs/>
          <w:sz w:val="22"/>
          <w:szCs w:val="22"/>
          <w:lang w:val="en-US"/>
        </w:rPr>
        <w:t xml:space="preserve"> dan </w:t>
      </w:r>
      <w:r>
        <w:rPr>
          <w:rFonts w:ascii="Times New Roman" w:hAnsi="Times New Roman"/>
          <w:bCs/>
          <w:i/>
          <w:sz w:val="22"/>
          <w:szCs w:val="22"/>
          <w:lang w:val="en-US"/>
        </w:rPr>
        <w:t>variance inflation factor</w:t>
      </w:r>
      <w:r>
        <w:rPr>
          <w:rFonts w:ascii="Times New Roman" w:hAnsi="Times New Roman"/>
          <w:bCs/>
          <w:sz w:val="22"/>
          <w:szCs w:val="22"/>
          <w:lang w:val="en-US"/>
        </w:rPr>
        <w:t xml:space="preserve"> ( VIF ) pada model regresi atau dengan membandingk</w:t>
      </w:r>
      <w:r>
        <w:rPr>
          <w:rFonts w:ascii="Times New Roman" w:hAnsi="Times New Roman"/>
          <w:bCs/>
          <w:sz w:val="22"/>
          <w:szCs w:val="22"/>
          <w:lang w:val="en-US"/>
        </w:rPr>
        <w:t>an nilai koefisien determinasi individual ( r</w:t>
      </w:r>
      <w:r>
        <w:rPr>
          <w:rFonts w:ascii="Times New Roman" w:hAnsi="Times New Roman"/>
          <w:bCs/>
          <w:sz w:val="22"/>
          <w:szCs w:val="22"/>
          <w:vertAlign w:val="superscript"/>
          <w:lang w:val="en-US"/>
        </w:rPr>
        <w:t>2</w:t>
      </w:r>
      <w:r>
        <w:rPr>
          <w:rFonts w:ascii="Times New Roman" w:hAnsi="Times New Roman"/>
          <w:bCs/>
          <w:sz w:val="22"/>
          <w:szCs w:val="22"/>
          <w:lang w:val="en-US"/>
        </w:rPr>
        <w:t xml:space="preserve"> ) dengan nilai determinasi secara serentak ( R</w:t>
      </w:r>
      <w:r>
        <w:rPr>
          <w:rFonts w:ascii="Times New Roman" w:hAnsi="Times New Roman"/>
          <w:bCs/>
          <w:sz w:val="22"/>
          <w:szCs w:val="22"/>
          <w:vertAlign w:val="superscript"/>
          <w:lang w:val="en-US"/>
        </w:rPr>
        <w:t>2</w:t>
      </w:r>
      <w:r>
        <w:rPr>
          <w:rFonts w:ascii="Times New Roman" w:hAnsi="Times New Roman"/>
          <w:bCs/>
          <w:sz w:val="22"/>
          <w:szCs w:val="22"/>
          <w:lang w:val="en-US"/>
        </w:rPr>
        <w:t>) Priyanto (2012:151). Hasil uji multikorelasi dapat dilihat pada tabel 4.6 berikut:</w:t>
      </w:r>
    </w:p>
    <w:p w:rsidR="003E6D75" w:rsidRDefault="00066F77">
      <w:pPr>
        <w:pStyle w:val="ListParagraph1"/>
        <w:spacing w:before="0" w:beforeAutospacing="0" w:after="0" w:afterAutospacing="0" w:line="240" w:lineRule="auto"/>
        <w:jc w:val="both"/>
        <w:rPr>
          <w:rFonts w:ascii="Times New Roman" w:hAnsi="Times New Roman"/>
          <w:b/>
          <w:bCs/>
          <w:sz w:val="22"/>
          <w:szCs w:val="22"/>
          <w:lang w:val="en-US"/>
        </w:rPr>
      </w:pPr>
      <w:r>
        <w:rPr>
          <w:rFonts w:ascii="Times New Roman" w:hAnsi="Times New Roman"/>
          <w:b/>
          <w:bCs/>
          <w:sz w:val="22"/>
          <w:szCs w:val="22"/>
          <w:lang w:val="en-US"/>
        </w:rPr>
        <w:t xml:space="preserve">Analisis Regresi Linier Berganda </w:t>
      </w:r>
    </w:p>
    <w:p w:rsidR="003E6D75" w:rsidRDefault="00066F77">
      <w:pPr>
        <w:spacing w:after="0" w:line="240" w:lineRule="auto"/>
        <w:ind w:firstLine="720"/>
        <w:jc w:val="both"/>
        <w:rPr>
          <w:rFonts w:ascii="Times New Roman" w:hAnsi="Times New Roman" w:cs="Times New Roman"/>
          <w:bCs/>
          <w:lang w:val="en-US"/>
        </w:rPr>
      </w:pPr>
      <w:r>
        <w:rPr>
          <w:rFonts w:ascii="Times New Roman" w:hAnsi="Times New Roman" w:cs="Times New Roman"/>
          <w:bCs/>
          <w:lang w:val="en-US"/>
        </w:rPr>
        <w:t xml:space="preserve">Analisi regresi linier berganda adalah </w:t>
      </w:r>
      <w:r>
        <w:rPr>
          <w:rFonts w:ascii="Times New Roman" w:hAnsi="Times New Roman" w:cs="Times New Roman"/>
          <w:bCs/>
          <w:lang w:val="en-US"/>
        </w:rPr>
        <w:t>analisi mengukur besarnya pengaruh antara dua variable independen atau lebih terhadap satu variable dipenden dan memprediksi variable dependen dengan menggunakan variable independen. Hasil pengolahan data untuk regresi linier berganda dengan menggunakan pr</w:t>
      </w:r>
      <w:r>
        <w:rPr>
          <w:rFonts w:ascii="Times New Roman" w:hAnsi="Times New Roman" w:cs="Times New Roman"/>
          <w:bCs/>
          <w:lang w:val="en-US"/>
        </w:rPr>
        <w:t>ogram SPSS 24.00, persamaan regresinya adalah:</w:t>
      </w:r>
    </w:p>
    <w:p w:rsidR="003E6D75" w:rsidRDefault="003E6D75">
      <w:pPr>
        <w:pStyle w:val="ListParagraph1"/>
        <w:spacing w:before="0" w:beforeAutospacing="0" w:after="0" w:afterAutospacing="0" w:line="240" w:lineRule="auto"/>
        <w:jc w:val="both"/>
        <w:rPr>
          <w:rFonts w:ascii="Times New Roman" w:hAnsi="Times New Roman"/>
          <w:bCs/>
          <w:sz w:val="22"/>
          <w:szCs w:val="22"/>
          <w:lang w:val="en-US"/>
        </w:rPr>
      </w:pPr>
    </w:p>
    <w:p w:rsidR="003E6D75" w:rsidRDefault="00066F77">
      <w:pPr>
        <w:pStyle w:val="ListParagraph1"/>
        <w:spacing w:before="0" w:beforeAutospacing="0" w:after="0" w:afterAutospacing="0" w:line="240" w:lineRule="auto"/>
        <w:jc w:val="both"/>
        <w:rPr>
          <w:rFonts w:ascii="Times New Roman" w:hAnsi="Times New Roman"/>
          <w:bCs/>
          <w:sz w:val="22"/>
          <w:szCs w:val="22"/>
          <w:lang w:val="fr-FR"/>
        </w:rPr>
      </w:pPr>
      <w:r>
        <w:rPr>
          <w:rFonts w:ascii="Times New Roman" w:hAnsi="Times New Roman"/>
          <w:bCs/>
          <w:sz w:val="22"/>
          <w:szCs w:val="22"/>
          <w:lang w:val="fr-FR"/>
        </w:rPr>
        <w:t>Hasil pengujian koefisien regresi berganda dapat dilihat pada tabel 4.</w:t>
      </w:r>
      <w:r>
        <w:rPr>
          <w:rFonts w:ascii="Times New Roman" w:hAnsi="Times New Roman"/>
          <w:bCs/>
          <w:sz w:val="22"/>
          <w:szCs w:val="22"/>
        </w:rPr>
        <w:t>6</w:t>
      </w:r>
      <w:r>
        <w:rPr>
          <w:rFonts w:ascii="Times New Roman" w:hAnsi="Times New Roman"/>
          <w:bCs/>
          <w:sz w:val="22"/>
          <w:szCs w:val="22"/>
          <w:lang w:val="fr-FR"/>
        </w:rPr>
        <w:t>berikut:</w:t>
      </w:r>
    </w:p>
    <w:p w:rsidR="003E6D75" w:rsidRDefault="003E6D75">
      <w:pPr>
        <w:pStyle w:val="ListParagraph1"/>
        <w:spacing w:before="0" w:beforeAutospacing="0" w:after="0" w:afterAutospacing="0" w:line="240" w:lineRule="auto"/>
        <w:jc w:val="center"/>
        <w:rPr>
          <w:rFonts w:ascii="Times New Roman" w:hAnsi="Times New Roman"/>
          <w:b/>
          <w:bCs/>
          <w:sz w:val="22"/>
          <w:szCs w:val="22"/>
          <w:lang w:val="fr-FR"/>
        </w:rPr>
      </w:pPr>
    </w:p>
    <w:p w:rsidR="003E6D75" w:rsidRDefault="003E6D75">
      <w:pPr>
        <w:pStyle w:val="ListParagraph1"/>
        <w:spacing w:before="0" w:beforeAutospacing="0" w:after="0" w:afterAutospacing="0" w:line="240" w:lineRule="auto"/>
        <w:jc w:val="center"/>
        <w:rPr>
          <w:rFonts w:ascii="Times New Roman" w:hAnsi="Times New Roman"/>
          <w:b/>
          <w:bCs/>
          <w:sz w:val="22"/>
          <w:szCs w:val="22"/>
          <w:lang w:val="fr-FR"/>
        </w:rPr>
      </w:pPr>
    </w:p>
    <w:p w:rsidR="003E6D75" w:rsidRDefault="00066F77">
      <w:pPr>
        <w:pStyle w:val="ListParagraph1"/>
        <w:spacing w:before="0" w:beforeAutospacing="0" w:after="0" w:afterAutospacing="0" w:line="240" w:lineRule="auto"/>
        <w:jc w:val="center"/>
        <w:rPr>
          <w:rFonts w:ascii="Times New Roman" w:hAnsi="Times New Roman"/>
          <w:b/>
          <w:bCs/>
          <w:sz w:val="22"/>
          <w:szCs w:val="22"/>
          <w:lang w:val="en-US"/>
        </w:rPr>
      </w:pPr>
      <w:r>
        <w:rPr>
          <w:rFonts w:ascii="Times New Roman" w:hAnsi="Times New Roman"/>
          <w:b/>
          <w:bCs/>
          <w:sz w:val="22"/>
          <w:szCs w:val="22"/>
          <w:lang w:val="en-US"/>
        </w:rPr>
        <w:t>Tabel 4.</w:t>
      </w:r>
      <w:r>
        <w:rPr>
          <w:rFonts w:ascii="Times New Roman" w:hAnsi="Times New Roman"/>
          <w:b/>
          <w:bCs/>
          <w:sz w:val="22"/>
          <w:szCs w:val="22"/>
        </w:rPr>
        <w:t>6</w:t>
      </w:r>
    </w:p>
    <w:tbl>
      <w:tblPr>
        <w:tblW w:w="9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0"/>
        <w:gridCol w:w="1210"/>
        <w:gridCol w:w="1367"/>
        <w:gridCol w:w="1366"/>
        <w:gridCol w:w="1507"/>
        <w:gridCol w:w="1052"/>
        <w:gridCol w:w="1052"/>
        <w:gridCol w:w="1161"/>
        <w:gridCol w:w="805"/>
      </w:tblGrid>
      <w:tr w:rsidR="003E6D75">
        <w:trPr>
          <w:cantSplit/>
          <w:jc w:val="center"/>
        </w:trPr>
        <w:tc>
          <w:tcPr>
            <w:tcW w:w="9590" w:type="dxa"/>
            <w:gridSpan w:val="9"/>
            <w:tcBorders>
              <w:top w:val="single" w:sz="4" w:space="0" w:color="auto"/>
              <w:left w:val="single" w:sz="4" w:space="0" w:color="auto"/>
              <w:bottom w:val="nil"/>
              <w:right w:val="single" w:sz="4" w:space="0" w:color="auto"/>
            </w:tcBorders>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010205"/>
                <w:lang w:val="en-US"/>
              </w:rPr>
            </w:pPr>
            <w:r>
              <w:rPr>
                <w:rFonts w:ascii="Times New Roman" w:eastAsia="SimSun" w:hAnsi="Times New Roman" w:cs="Times New Roman"/>
                <w:b/>
                <w:bCs/>
                <w:color w:val="010205"/>
                <w:lang w:val="en-US"/>
              </w:rPr>
              <w:t>Coefficients</w:t>
            </w:r>
            <w:r>
              <w:rPr>
                <w:rFonts w:ascii="Times New Roman" w:eastAsia="SimSun" w:hAnsi="Times New Roman" w:cs="Times New Roman"/>
                <w:b/>
                <w:bCs/>
                <w:color w:val="010205"/>
                <w:vertAlign w:val="superscript"/>
                <w:lang w:val="en-US"/>
              </w:rPr>
              <w:t>a</w:t>
            </w:r>
          </w:p>
        </w:tc>
      </w:tr>
      <w:tr w:rsidR="003E6D75">
        <w:trPr>
          <w:cantSplit/>
          <w:jc w:val="center"/>
        </w:trPr>
        <w:tc>
          <w:tcPr>
            <w:tcW w:w="1280" w:type="dxa"/>
            <w:gridSpan w:val="2"/>
            <w:vMerge w:val="restart"/>
            <w:tcBorders>
              <w:top w:val="nil"/>
              <w:left w:val="single" w:sz="4" w:space="0" w:color="auto"/>
              <w:bottom w:val="nil"/>
              <w:right w:val="nil"/>
            </w:tcBorders>
            <w:shd w:val="clear" w:color="auto" w:fill="FFFFFF"/>
            <w:vAlign w:val="bottom"/>
          </w:tcPr>
          <w:p w:rsidR="003E6D75" w:rsidRDefault="00066F77">
            <w:pPr>
              <w:autoSpaceDE w:val="0"/>
              <w:autoSpaceDN w:val="0"/>
              <w:adjustRightInd w:val="0"/>
              <w:spacing w:after="0" w:line="240" w:lineRule="auto"/>
              <w:ind w:left="60" w:right="60"/>
              <w:rPr>
                <w:rFonts w:ascii="Times New Roman" w:eastAsia="SimSun" w:hAnsi="Times New Roman" w:cs="Times New Roman"/>
                <w:color w:val="264A60"/>
                <w:lang w:val="en-US"/>
              </w:rPr>
            </w:pPr>
            <w:r>
              <w:rPr>
                <w:rFonts w:ascii="Times New Roman" w:eastAsia="SimSun" w:hAnsi="Times New Roman" w:cs="Times New Roman"/>
                <w:color w:val="264A60"/>
                <w:lang w:val="en-US"/>
              </w:rPr>
              <w:t>Model</w:t>
            </w:r>
          </w:p>
        </w:tc>
        <w:tc>
          <w:tcPr>
            <w:tcW w:w="2733" w:type="dxa"/>
            <w:gridSpan w:val="2"/>
            <w:tcBorders>
              <w:top w:val="nil"/>
              <w:left w:val="nil"/>
              <w:bottom w:val="nil"/>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Unstandardized Coefficients</w:t>
            </w:r>
          </w:p>
        </w:tc>
        <w:tc>
          <w:tcPr>
            <w:tcW w:w="1507" w:type="dxa"/>
            <w:tcBorders>
              <w:top w:val="nil"/>
              <w:left w:val="single" w:sz="8" w:space="0" w:color="E0E0E0"/>
              <w:bottom w:val="nil"/>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Standardized Coefficients</w:t>
            </w:r>
          </w:p>
        </w:tc>
        <w:tc>
          <w:tcPr>
            <w:tcW w:w="1052" w:type="dxa"/>
            <w:vMerge w:val="restart"/>
            <w:tcBorders>
              <w:top w:val="nil"/>
              <w:left w:val="single" w:sz="8" w:space="0" w:color="E0E0E0"/>
              <w:bottom w:val="nil"/>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t</w:t>
            </w:r>
          </w:p>
        </w:tc>
        <w:tc>
          <w:tcPr>
            <w:tcW w:w="1052" w:type="dxa"/>
            <w:vMerge w:val="restart"/>
            <w:tcBorders>
              <w:top w:val="nil"/>
              <w:left w:val="single" w:sz="8" w:space="0" w:color="E0E0E0"/>
              <w:bottom w:val="nil"/>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Sig.</w:t>
            </w:r>
          </w:p>
        </w:tc>
        <w:tc>
          <w:tcPr>
            <w:tcW w:w="1966" w:type="dxa"/>
            <w:gridSpan w:val="2"/>
            <w:tcBorders>
              <w:top w:val="nil"/>
              <w:left w:val="single" w:sz="8" w:space="0" w:color="E0E0E0"/>
              <w:bottom w:val="nil"/>
              <w:right w:val="single" w:sz="4" w:space="0" w:color="auto"/>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Collinearity Statistics</w:t>
            </w:r>
          </w:p>
        </w:tc>
      </w:tr>
      <w:tr w:rsidR="003E6D75">
        <w:trPr>
          <w:cantSplit/>
          <w:jc w:val="center"/>
        </w:trPr>
        <w:tc>
          <w:tcPr>
            <w:tcW w:w="1280" w:type="dxa"/>
            <w:gridSpan w:val="2"/>
            <w:vMerge/>
            <w:tcBorders>
              <w:top w:val="nil"/>
              <w:left w:val="single" w:sz="4" w:space="0" w:color="auto"/>
              <w:bottom w:val="nil"/>
              <w:right w:val="nil"/>
            </w:tcBorders>
            <w:shd w:val="clear" w:color="auto" w:fill="FFFFFF"/>
            <w:vAlign w:val="bottom"/>
          </w:tcPr>
          <w:p w:rsidR="003E6D75" w:rsidRDefault="003E6D75">
            <w:pPr>
              <w:autoSpaceDE w:val="0"/>
              <w:autoSpaceDN w:val="0"/>
              <w:adjustRightInd w:val="0"/>
              <w:spacing w:after="0" w:line="240" w:lineRule="auto"/>
              <w:rPr>
                <w:rFonts w:ascii="Times New Roman" w:eastAsia="SimSun" w:hAnsi="Times New Roman" w:cs="Times New Roman"/>
                <w:color w:val="264A60"/>
                <w:lang w:val="en-US"/>
              </w:rPr>
            </w:pPr>
          </w:p>
        </w:tc>
        <w:tc>
          <w:tcPr>
            <w:tcW w:w="1367" w:type="dxa"/>
            <w:tcBorders>
              <w:top w:val="nil"/>
              <w:left w:val="nil"/>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B</w:t>
            </w:r>
          </w:p>
        </w:tc>
        <w:tc>
          <w:tcPr>
            <w:tcW w:w="1366" w:type="dxa"/>
            <w:tcBorders>
              <w:top w:val="nil"/>
              <w:left w:val="single" w:sz="8" w:space="0" w:color="E0E0E0"/>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 xml:space="preserve">Std. </w:t>
            </w:r>
            <w:r>
              <w:rPr>
                <w:rFonts w:ascii="Times New Roman" w:eastAsia="SimSun" w:hAnsi="Times New Roman" w:cs="Times New Roman"/>
                <w:color w:val="264A60"/>
                <w:lang w:val="en-US"/>
              </w:rPr>
              <w:t>Error</w:t>
            </w:r>
          </w:p>
        </w:tc>
        <w:tc>
          <w:tcPr>
            <w:tcW w:w="1507" w:type="dxa"/>
            <w:tcBorders>
              <w:top w:val="nil"/>
              <w:left w:val="single" w:sz="8" w:space="0" w:color="E0E0E0"/>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Beta</w:t>
            </w:r>
          </w:p>
        </w:tc>
        <w:tc>
          <w:tcPr>
            <w:tcW w:w="1052" w:type="dxa"/>
            <w:vMerge/>
            <w:tcBorders>
              <w:top w:val="nil"/>
              <w:left w:val="single" w:sz="8" w:space="0" w:color="E0E0E0"/>
              <w:bottom w:val="nil"/>
              <w:right w:val="single" w:sz="8" w:space="0" w:color="E0E0E0"/>
            </w:tcBorders>
            <w:shd w:val="clear" w:color="auto" w:fill="FFFFFF"/>
            <w:vAlign w:val="bottom"/>
          </w:tcPr>
          <w:p w:rsidR="003E6D75" w:rsidRDefault="003E6D75">
            <w:pPr>
              <w:autoSpaceDE w:val="0"/>
              <w:autoSpaceDN w:val="0"/>
              <w:adjustRightInd w:val="0"/>
              <w:spacing w:after="0" w:line="240" w:lineRule="auto"/>
              <w:rPr>
                <w:rFonts w:ascii="Times New Roman" w:eastAsia="SimSun" w:hAnsi="Times New Roman" w:cs="Times New Roman"/>
                <w:color w:val="264A60"/>
                <w:lang w:val="en-US"/>
              </w:rPr>
            </w:pPr>
          </w:p>
        </w:tc>
        <w:tc>
          <w:tcPr>
            <w:tcW w:w="1052" w:type="dxa"/>
            <w:vMerge/>
            <w:tcBorders>
              <w:top w:val="nil"/>
              <w:left w:val="single" w:sz="8" w:space="0" w:color="E0E0E0"/>
              <w:bottom w:val="nil"/>
              <w:right w:val="single" w:sz="8" w:space="0" w:color="E0E0E0"/>
            </w:tcBorders>
            <w:shd w:val="clear" w:color="auto" w:fill="FFFFFF"/>
            <w:vAlign w:val="bottom"/>
          </w:tcPr>
          <w:p w:rsidR="003E6D75" w:rsidRDefault="003E6D75">
            <w:pPr>
              <w:autoSpaceDE w:val="0"/>
              <w:autoSpaceDN w:val="0"/>
              <w:adjustRightInd w:val="0"/>
              <w:spacing w:after="0" w:line="240" w:lineRule="auto"/>
              <w:rPr>
                <w:rFonts w:ascii="Times New Roman" w:eastAsia="SimSun" w:hAnsi="Times New Roman" w:cs="Times New Roman"/>
                <w:color w:val="264A60"/>
                <w:lang w:val="en-US"/>
              </w:rPr>
            </w:pPr>
          </w:p>
        </w:tc>
        <w:tc>
          <w:tcPr>
            <w:tcW w:w="1161" w:type="dxa"/>
            <w:tcBorders>
              <w:top w:val="nil"/>
              <w:left w:val="single" w:sz="8" w:space="0" w:color="E0E0E0"/>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Tolerance</w:t>
            </w:r>
          </w:p>
        </w:tc>
        <w:tc>
          <w:tcPr>
            <w:tcW w:w="805" w:type="dxa"/>
            <w:tcBorders>
              <w:top w:val="nil"/>
              <w:left w:val="single" w:sz="8" w:space="0" w:color="E0E0E0"/>
              <w:bottom w:val="single" w:sz="8" w:space="0" w:color="152935"/>
              <w:right w:val="single" w:sz="4" w:space="0" w:color="auto"/>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eastAsia="SimSun" w:hAnsi="Times New Roman" w:cs="Times New Roman"/>
                <w:color w:val="264A60"/>
                <w:lang w:val="en-US"/>
              </w:rPr>
            </w:pPr>
            <w:r>
              <w:rPr>
                <w:rFonts w:ascii="Times New Roman" w:eastAsia="SimSun" w:hAnsi="Times New Roman" w:cs="Times New Roman"/>
                <w:color w:val="264A60"/>
                <w:lang w:val="en-US"/>
              </w:rPr>
              <w:t>VIF</w:t>
            </w:r>
          </w:p>
        </w:tc>
      </w:tr>
      <w:tr w:rsidR="003E6D75">
        <w:trPr>
          <w:cantSplit/>
          <w:jc w:val="center"/>
        </w:trPr>
        <w:tc>
          <w:tcPr>
            <w:tcW w:w="70" w:type="dxa"/>
            <w:vMerge w:val="restart"/>
            <w:tcBorders>
              <w:top w:val="single" w:sz="8" w:space="0" w:color="152935"/>
              <w:left w:val="single" w:sz="4" w:space="0" w:color="auto"/>
              <w:bottom w:val="single" w:sz="8" w:space="0" w:color="152935"/>
              <w:right w:val="nil"/>
            </w:tcBorders>
            <w:shd w:val="clear" w:color="auto" w:fill="E0E0E0"/>
          </w:tcPr>
          <w:p w:rsidR="003E6D75" w:rsidRDefault="00066F77">
            <w:pPr>
              <w:autoSpaceDE w:val="0"/>
              <w:autoSpaceDN w:val="0"/>
              <w:adjustRightInd w:val="0"/>
              <w:spacing w:after="0" w:line="240" w:lineRule="auto"/>
              <w:ind w:left="60" w:right="60"/>
              <w:rPr>
                <w:rFonts w:ascii="Times New Roman" w:eastAsia="SimSun" w:hAnsi="Times New Roman" w:cs="Times New Roman"/>
                <w:color w:val="264A60"/>
                <w:lang w:val="en-US"/>
              </w:rPr>
            </w:pPr>
            <w:r>
              <w:rPr>
                <w:rFonts w:ascii="Times New Roman" w:eastAsia="SimSun" w:hAnsi="Times New Roman" w:cs="Times New Roman"/>
                <w:color w:val="264A60"/>
                <w:lang w:val="en-US"/>
              </w:rPr>
              <w:t>1</w:t>
            </w:r>
          </w:p>
        </w:tc>
        <w:tc>
          <w:tcPr>
            <w:tcW w:w="1210" w:type="dxa"/>
            <w:tcBorders>
              <w:top w:val="single" w:sz="8" w:space="0" w:color="152935"/>
              <w:left w:val="nil"/>
              <w:bottom w:val="single" w:sz="8" w:space="0" w:color="AEAEAE"/>
              <w:right w:val="nil"/>
            </w:tcBorders>
            <w:shd w:val="clear" w:color="auto" w:fill="E0E0E0"/>
          </w:tcPr>
          <w:p w:rsidR="003E6D75" w:rsidRDefault="00066F77">
            <w:pPr>
              <w:autoSpaceDE w:val="0"/>
              <w:autoSpaceDN w:val="0"/>
              <w:adjustRightInd w:val="0"/>
              <w:spacing w:after="0" w:line="240" w:lineRule="auto"/>
              <w:ind w:left="60" w:right="60"/>
              <w:rPr>
                <w:rFonts w:ascii="Times New Roman" w:eastAsia="SimSun" w:hAnsi="Times New Roman" w:cs="Times New Roman"/>
                <w:color w:val="264A60"/>
                <w:lang w:val="en-US"/>
              </w:rPr>
            </w:pPr>
            <w:r>
              <w:rPr>
                <w:rFonts w:ascii="Times New Roman" w:eastAsia="SimSun" w:hAnsi="Times New Roman" w:cs="Times New Roman"/>
                <w:color w:val="264A60"/>
                <w:lang w:val="en-US"/>
              </w:rPr>
              <w:t>(Constant)</w:t>
            </w:r>
          </w:p>
        </w:tc>
        <w:tc>
          <w:tcPr>
            <w:tcW w:w="1367" w:type="dxa"/>
            <w:tcBorders>
              <w:top w:val="single" w:sz="8" w:space="0" w:color="152935"/>
              <w:left w:val="nil"/>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.198</w:t>
            </w:r>
          </w:p>
        </w:tc>
        <w:tc>
          <w:tcPr>
            <w:tcW w:w="1366" w:type="dxa"/>
            <w:tcBorders>
              <w:top w:val="single" w:sz="8" w:space="0" w:color="152935"/>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1.489</w:t>
            </w:r>
          </w:p>
        </w:tc>
        <w:tc>
          <w:tcPr>
            <w:tcW w:w="1507"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3E6D75" w:rsidRDefault="003E6D75">
            <w:pPr>
              <w:autoSpaceDE w:val="0"/>
              <w:autoSpaceDN w:val="0"/>
              <w:adjustRightInd w:val="0"/>
              <w:spacing w:after="0" w:line="240" w:lineRule="auto"/>
              <w:rPr>
                <w:rFonts w:ascii="Times New Roman" w:eastAsia="SimSun" w:hAnsi="Times New Roman" w:cs="Times New Roman"/>
                <w:lang w:val="en-US"/>
              </w:rPr>
            </w:pP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.133</w:t>
            </w:r>
          </w:p>
        </w:tc>
        <w:tc>
          <w:tcPr>
            <w:tcW w:w="1052" w:type="dxa"/>
            <w:tcBorders>
              <w:top w:val="single" w:sz="8" w:space="0" w:color="152935"/>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.896</w:t>
            </w:r>
          </w:p>
        </w:tc>
        <w:tc>
          <w:tcPr>
            <w:tcW w:w="1161"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3E6D75" w:rsidRDefault="003E6D75">
            <w:pPr>
              <w:autoSpaceDE w:val="0"/>
              <w:autoSpaceDN w:val="0"/>
              <w:adjustRightInd w:val="0"/>
              <w:spacing w:after="0" w:line="240" w:lineRule="auto"/>
              <w:rPr>
                <w:rFonts w:ascii="Times New Roman" w:eastAsia="SimSun" w:hAnsi="Times New Roman" w:cs="Times New Roman"/>
                <w:lang w:val="en-US"/>
              </w:rPr>
            </w:pPr>
          </w:p>
        </w:tc>
        <w:tc>
          <w:tcPr>
            <w:tcW w:w="805" w:type="dxa"/>
            <w:tcBorders>
              <w:top w:val="single" w:sz="8" w:space="0" w:color="152935"/>
              <w:left w:val="single" w:sz="8" w:space="0" w:color="E0E0E0"/>
              <w:bottom w:val="single" w:sz="8" w:space="0" w:color="AEAEAE"/>
              <w:right w:val="single" w:sz="4" w:space="0" w:color="auto"/>
            </w:tcBorders>
            <w:shd w:val="clear" w:color="auto" w:fill="FFFFFF"/>
            <w:vAlign w:val="center"/>
          </w:tcPr>
          <w:p w:rsidR="003E6D75" w:rsidRDefault="003E6D75">
            <w:pPr>
              <w:autoSpaceDE w:val="0"/>
              <w:autoSpaceDN w:val="0"/>
              <w:adjustRightInd w:val="0"/>
              <w:spacing w:after="0" w:line="240" w:lineRule="auto"/>
              <w:rPr>
                <w:rFonts w:ascii="Times New Roman" w:eastAsia="SimSun" w:hAnsi="Times New Roman" w:cs="Times New Roman"/>
                <w:lang w:val="en-US"/>
              </w:rPr>
            </w:pPr>
          </w:p>
        </w:tc>
      </w:tr>
      <w:tr w:rsidR="003E6D75">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3E6D75" w:rsidRDefault="003E6D75">
            <w:pPr>
              <w:autoSpaceDE w:val="0"/>
              <w:autoSpaceDN w:val="0"/>
              <w:adjustRightInd w:val="0"/>
              <w:spacing w:after="0" w:line="240" w:lineRule="auto"/>
              <w:rPr>
                <w:rFonts w:ascii="Times New Roman" w:eastAsia="SimSun" w:hAnsi="Times New Roman" w:cs="Times New Roman"/>
                <w:lang w:val="en-US"/>
              </w:rPr>
            </w:pPr>
          </w:p>
        </w:tc>
        <w:tc>
          <w:tcPr>
            <w:tcW w:w="1210" w:type="dxa"/>
            <w:tcBorders>
              <w:top w:val="single" w:sz="8" w:space="0" w:color="AEAEAE"/>
              <w:left w:val="nil"/>
              <w:bottom w:val="single" w:sz="8" w:space="0" w:color="AEAEAE"/>
              <w:right w:val="nil"/>
            </w:tcBorders>
            <w:shd w:val="clear" w:color="auto" w:fill="E0E0E0"/>
          </w:tcPr>
          <w:p w:rsidR="003E6D75" w:rsidRDefault="00066F77">
            <w:pPr>
              <w:autoSpaceDE w:val="0"/>
              <w:autoSpaceDN w:val="0"/>
              <w:adjustRightInd w:val="0"/>
              <w:spacing w:after="0" w:line="240" w:lineRule="auto"/>
              <w:ind w:left="60" w:right="60"/>
              <w:rPr>
                <w:rFonts w:ascii="Times New Roman" w:eastAsia="SimSun" w:hAnsi="Times New Roman" w:cs="Times New Roman"/>
                <w:color w:val="264A60"/>
                <w:lang w:val="en-US"/>
              </w:rPr>
            </w:pPr>
            <w:r>
              <w:rPr>
                <w:rFonts w:ascii="Times New Roman" w:eastAsia="SimSun" w:hAnsi="Times New Roman" w:cs="Times New Roman"/>
                <w:color w:val="264A60"/>
                <w:lang w:val="en-US"/>
              </w:rPr>
              <w:t>CAR</w:t>
            </w:r>
          </w:p>
        </w:tc>
        <w:tc>
          <w:tcPr>
            <w:tcW w:w="1367" w:type="dxa"/>
            <w:tcBorders>
              <w:top w:val="single" w:sz="8" w:space="0" w:color="AEAEAE"/>
              <w:left w:val="nil"/>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-1.478</w:t>
            </w:r>
          </w:p>
        </w:tc>
        <w:tc>
          <w:tcPr>
            <w:tcW w:w="1366" w:type="dxa"/>
            <w:tcBorders>
              <w:top w:val="single" w:sz="8" w:space="0" w:color="AEAEAE"/>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.494</w:t>
            </w:r>
          </w:p>
        </w:tc>
        <w:tc>
          <w:tcPr>
            <w:tcW w:w="1507" w:type="dxa"/>
            <w:tcBorders>
              <w:top w:val="single" w:sz="8" w:space="0" w:color="AEAEAE"/>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-.574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-2.994</w:t>
            </w:r>
          </w:p>
        </w:tc>
        <w:tc>
          <w:tcPr>
            <w:tcW w:w="1052" w:type="dxa"/>
            <w:tcBorders>
              <w:top w:val="single" w:sz="8" w:space="0" w:color="AEAEAE"/>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.008</w:t>
            </w:r>
          </w:p>
        </w:tc>
        <w:tc>
          <w:tcPr>
            <w:tcW w:w="1161" w:type="dxa"/>
            <w:tcBorders>
              <w:top w:val="single" w:sz="8" w:space="0" w:color="AEAEAE"/>
              <w:left w:val="single" w:sz="8" w:space="0" w:color="E0E0E0"/>
              <w:bottom w:val="single" w:sz="8" w:space="0" w:color="AEAEAE"/>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.999</w:t>
            </w:r>
          </w:p>
        </w:tc>
        <w:tc>
          <w:tcPr>
            <w:tcW w:w="805" w:type="dxa"/>
            <w:tcBorders>
              <w:top w:val="single" w:sz="8" w:space="0" w:color="AEAEAE"/>
              <w:left w:val="single" w:sz="8" w:space="0" w:color="E0E0E0"/>
              <w:bottom w:val="single" w:sz="8" w:space="0" w:color="AEAEAE"/>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1.001</w:t>
            </w:r>
          </w:p>
        </w:tc>
      </w:tr>
      <w:tr w:rsidR="003E6D75">
        <w:trPr>
          <w:cantSplit/>
          <w:jc w:val="center"/>
        </w:trPr>
        <w:tc>
          <w:tcPr>
            <w:tcW w:w="70" w:type="dxa"/>
            <w:vMerge/>
            <w:tcBorders>
              <w:top w:val="single" w:sz="8" w:space="0" w:color="152935"/>
              <w:left w:val="single" w:sz="4" w:space="0" w:color="auto"/>
              <w:bottom w:val="single" w:sz="8" w:space="0" w:color="152935"/>
              <w:right w:val="nil"/>
            </w:tcBorders>
            <w:shd w:val="clear" w:color="auto" w:fill="E0E0E0"/>
          </w:tcPr>
          <w:p w:rsidR="003E6D75" w:rsidRDefault="003E6D75">
            <w:pPr>
              <w:autoSpaceDE w:val="0"/>
              <w:autoSpaceDN w:val="0"/>
              <w:adjustRightInd w:val="0"/>
              <w:spacing w:after="0" w:line="240" w:lineRule="auto"/>
              <w:rPr>
                <w:rFonts w:ascii="Times New Roman" w:eastAsia="SimSun" w:hAnsi="Times New Roman" w:cs="Times New Roman"/>
                <w:color w:val="010205"/>
                <w:lang w:val="en-US"/>
              </w:rPr>
            </w:pPr>
          </w:p>
        </w:tc>
        <w:tc>
          <w:tcPr>
            <w:tcW w:w="1210" w:type="dxa"/>
            <w:tcBorders>
              <w:top w:val="single" w:sz="8" w:space="0" w:color="AEAEAE"/>
              <w:left w:val="nil"/>
              <w:bottom w:val="single" w:sz="8" w:space="0" w:color="152935"/>
              <w:right w:val="nil"/>
            </w:tcBorders>
            <w:shd w:val="clear" w:color="auto" w:fill="E0E0E0"/>
          </w:tcPr>
          <w:p w:rsidR="003E6D75" w:rsidRDefault="00066F77">
            <w:pPr>
              <w:autoSpaceDE w:val="0"/>
              <w:autoSpaceDN w:val="0"/>
              <w:adjustRightInd w:val="0"/>
              <w:spacing w:after="0" w:line="240" w:lineRule="auto"/>
              <w:ind w:left="60" w:right="60"/>
              <w:rPr>
                <w:rFonts w:ascii="Times New Roman" w:eastAsia="SimSun" w:hAnsi="Times New Roman" w:cs="Times New Roman"/>
                <w:color w:val="264A60"/>
                <w:lang w:val="en-US"/>
              </w:rPr>
            </w:pPr>
            <w:r>
              <w:rPr>
                <w:rFonts w:ascii="Times New Roman" w:eastAsia="SimSun" w:hAnsi="Times New Roman" w:cs="Times New Roman"/>
                <w:color w:val="264A60"/>
                <w:lang w:val="en-US"/>
              </w:rPr>
              <w:t>FDR</w:t>
            </w:r>
          </w:p>
        </w:tc>
        <w:tc>
          <w:tcPr>
            <w:tcW w:w="1367" w:type="dxa"/>
            <w:tcBorders>
              <w:top w:val="single" w:sz="8" w:space="0" w:color="AEAEAE"/>
              <w:left w:val="nil"/>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.866</w:t>
            </w:r>
          </w:p>
        </w:tc>
        <w:tc>
          <w:tcPr>
            <w:tcW w:w="1366" w:type="dxa"/>
            <w:tcBorders>
              <w:top w:val="single" w:sz="8" w:space="0" w:color="AEAEAE"/>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.709</w:t>
            </w:r>
          </w:p>
        </w:tc>
        <w:tc>
          <w:tcPr>
            <w:tcW w:w="1507" w:type="dxa"/>
            <w:tcBorders>
              <w:top w:val="single" w:sz="8" w:space="0" w:color="AEAEAE"/>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.234</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1.220</w:t>
            </w:r>
          </w:p>
        </w:tc>
        <w:tc>
          <w:tcPr>
            <w:tcW w:w="1052" w:type="dxa"/>
            <w:tcBorders>
              <w:top w:val="single" w:sz="8" w:space="0" w:color="AEAEAE"/>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.239</w:t>
            </w:r>
          </w:p>
        </w:tc>
        <w:tc>
          <w:tcPr>
            <w:tcW w:w="1161" w:type="dxa"/>
            <w:tcBorders>
              <w:top w:val="single" w:sz="8" w:space="0" w:color="AEAEAE"/>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.999</w:t>
            </w:r>
          </w:p>
        </w:tc>
        <w:tc>
          <w:tcPr>
            <w:tcW w:w="805" w:type="dxa"/>
            <w:tcBorders>
              <w:top w:val="single" w:sz="8" w:space="0" w:color="AEAEAE"/>
              <w:left w:val="single" w:sz="8" w:space="0" w:color="E0E0E0"/>
              <w:bottom w:val="single" w:sz="8" w:space="0" w:color="152935"/>
              <w:right w:val="single" w:sz="4" w:space="0" w:color="auto"/>
            </w:tcBorders>
            <w:shd w:val="clear" w:color="auto" w:fill="FFFFFF"/>
          </w:tcPr>
          <w:p w:rsidR="003E6D75" w:rsidRDefault="00066F77">
            <w:pPr>
              <w:autoSpaceDE w:val="0"/>
              <w:autoSpaceDN w:val="0"/>
              <w:adjustRightInd w:val="0"/>
              <w:spacing w:after="0" w:line="240" w:lineRule="auto"/>
              <w:ind w:left="60" w:right="60"/>
              <w:jc w:val="right"/>
              <w:rPr>
                <w:rFonts w:ascii="Times New Roman" w:eastAsia="SimSun" w:hAnsi="Times New Roman" w:cs="Times New Roman"/>
                <w:color w:val="010205"/>
                <w:lang w:val="en-US"/>
              </w:rPr>
            </w:pPr>
            <w:r>
              <w:rPr>
                <w:rFonts w:ascii="Times New Roman" w:eastAsia="SimSun" w:hAnsi="Times New Roman" w:cs="Times New Roman"/>
                <w:color w:val="010205"/>
                <w:lang w:val="en-US"/>
              </w:rPr>
              <w:t>1.001</w:t>
            </w:r>
          </w:p>
        </w:tc>
      </w:tr>
      <w:tr w:rsidR="003E6D75">
        <w:trPr>
          <w:cantSplit/>
          <w:jc w:val="center"/>
        </w:trPr>
        <w:tc>
          <w:tcPr>
            <w:tcW w:w="9590" w:type="dxa"/>
            <w:gridSpan w:val="9"/>
            <w:tcBorders>
              <w:top w:val="nil"/>
              <w:left w:val="single" w:sz="4" w:space="0" w:color="auto"/>
              <w:bottom w:val="single" w:sz="4" w:space="0" w:color="auto"/>
              <w:right w:val="single" w:sz="4" w:space="0" w:color="auto"/>
            </w:tcBorders>
            <w:shd w:val="clear" w:color="auto" w:fill="FFFFFF"/>
          </w:tcPr>
          <w:p w:rsidR="003E6D75" w:rsidRDefault="00066F77">
            <w:pPr>
              <w:autoSpaceDE w:val="0"/>
              <w:autoSpaceDN w:val="0"/>
              <w:adjustRightInd w:val="0"/>
              <w:spacing w:after="0" w:line="240" w:lineRule="auto"/>
              <w:ind w:left="60" w:right="60"/>
              <w:rPr>
                <w:rFonts w:ascii="Times New Roman" w:eastAsia="SimSun" w:hAnsi="Times New Roman" w:cs="Times New Roman"/>
                <w:color w:val="010205"/>
                <w:lang w:val="en-US"/>
              </w:rPr>
            </w:pPr>
            <w:r>
              <w:rPr>
                <w:rFonts w:ascii="Times New Roman" w:eastAsia="SimSun" w:hAnsi="Times New Roman" w:cs="Times New Roman"/>
                <w:color w:val="010205"/>
                <w:lang w:val="en-US"/>
              </w:rPr>
              <w:lastRenderedPageBreak/>
              <w:t>a. Dependent Variable: ROA</w:t>
            </w:r>
          </w:p>
        </w:tc>
      </w:tr>
    </w:tbl>
    <w:p w:rsidR="003E6D75" w:rsidRDefault="00066F77">
      <w:pPr>
        <w:pStyle w:val="ListParagraph1"/>
        <w:spacing w:before="0" w:beforeAutospacing="0" w:after="0" w:afterAutospacing="0" w:line="240" w:lineRule="auto"/>
        <w:jc w:val="both"/>
        <w:rPr>
          <w:rFonts w:ascii="Times New Roman" w:hAnsi="Times New Roman"/>
          <w:b/>
          <w:bCs/>
          <w:sz w:val="22"/>
          <w:szCs w:val="22"/>
          <w:lang w:val="en-US"/>
        </w:rPr>
      </w:pPr>
      <w:r>
        <w:rPr>
          <w:rFonts w:ascii="Times New Roman" w:hAnsi="Times New Roman"/>
          <w:b/>
          <w:bCs/>
          <w:sz w:val="22"/>
          <w:szCs w:val="22"/>
          <w:lang w:val="en-US"/>
        </w:rPr>
        <w:t>Sumber: Data Sekunder yang Diolah Menggunakan SPSS 24 (201</w:t>
      </w:r>
      <w:r>
        <w:rPr>
          <w:rFonts w:ascii="Times New Roman" w:hAnsi="Times New Roman"/>
          <w:b/>
          <w:bCs/>
          <w:sz w:val="22"/>
          <w:szCs w:val="22"/>
        </w:rPr>
        <w:t>8</w:t>
      </w:r>
      <w:r>
        <w:rPr>
          <w:rFonts w:ascii="Times New Roman" w:hAnsi="Times New Roman"/>
          <w:b/>
          <w:bCs/>
          <w:sz w:val="22"/>
          <w:szCs w:val="22"/>
          <w:lang w:val="en-US"/>
        </w:rPr>
        <w:t>)</w:t>
      </w:r>
    </w:p>
    <w:p w:rsidR="003E6D75" w:rsidRDefault="003E6D75">
      <w:pPr>
        <w:pStyle w:val="ListParagraph1"/>
        <w:spacing w:before="0" w:beforeAutospacing="0" w:after="0" w:afterAutospacing="0" w:line="240" w:lineRule="auto"/>
        <w:jc w:val="both"/>
        <w:rPr>
          <w:rFonts w:ascii="Times New Roman" w:hAnsi="Times New Roman"/>
          <w:bCs/>
          <w:sz w:val="22"/>
          <w:szCs w:val="22"/>
          <w:lang w:val="en-US"/>
        </w:rPr>
      </w:pP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Berdasarkan tabel diatas diperoleh persamaan linier sebagai berikut:</w:t>
      </w: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
          <w:bCs/>
          <w:noProof/>
          <w:sz w:val="22"/>
          <w:szCs w:val="22"/>
        </w:rPr>
        <mc:AlternateContent>
          <mc:Choice Requires="wps">
            <w:drawing>
              <wp:anchor distT="0" distB="0" distL="114300" distR="114300" simplePos="0" relativeHeight="251660288" behindDoc="0" locked="0" layoutInCell="1" allowOverlap="1">
                <wp:simplePos x="0" y="0"/>
                <wp:positionH relativeFrom="column">
                  <wp:posOffset>1273810</wp:posOffset>
                </wp:positionH>
                <wp:positionV relativeFrom="paragraph">
                  <wp:posOffset>100965</wp:posOffset>
                </wp:positionV>
                <wp:extent cx="2352675" cy="342900"/>
                <wp:effectExtent l="5080" t="4445" r="4445" b="146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342900"/>
                        </a:xfrm>
                        <a:prstGeom prst="rect">
                          <a:avLst/>
                        </a:prstGeom>
                        <a:noFill/>
                        <a:ln w="9525">
                          <a:solidFill>
                            <a:schemeClr val="tx1"/>
                          </a:solidFill>
                          <a:miter lim="800000"/>
                        </a:ln>
                      </wps:spPr>
                      <wps:txbx>
                        <w:txbxContent>
                          <w:p w:rsidR="003E6D75" w:rsidRDefault="00066F77">
                            <w:pPr>
                              <w:spacing w:line="480" w:lineRule="auto"/>
                              <w:jc w:val="center"/>
                            </w:pPr>
                            <w:r>
                              <w:rPr>
                                <w:rFonts w:ascii="Times New Roman" w:hAnsi="Times New Roman" w:cs="Times New Roman"/>
                                <w:b/>
                                <w:bCs/>
                                <w:sz w:val="24"/>
                                <w:szCs w:val="24"/>
                                <w:lang w:val="en-US"/>
                              </w:rPr>
                              <w:t>Y= 0.198 + (-1.478)(x</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 – 0.866</w:t>
                            </w:r>
                          </w:p>
                        </w:txbxContent>
                      </wps:txbx>
                      <wps:bodyPr rot="0" vert="horz" wrap="square" lIns="91440" tIns="45720" rIns="91440" bIns="45720" anchor="ctr"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0.3pt;margin-top:7.95pt;width:185.25pt;height:2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" filled="f" strokecolor="black [3213]">
                <v:textbox>
                  <w:txbxContent>
                    <w:p w:rsidR="003E6D75" w:rsidRDefault="00066F77">
                      <w:pPr>
                        <w:spacing w:line="480" w:lineRule="auto"/>
                        <w:jc w:val="center"/>
                      </w:pPr>
                      <w:r>
                        <w:rPr>
                          <w:rFonts w:ascii="Times New Roman" w:hAnsi="Times New Roman" w:cs="Times New Roman"/>
                          <w:b/>
                          <w:bCs/>
                          <w:sz w:val="24"/>
                          <w:szCs w:val="24"/>
                          <w:lang w:val="en-US"/>
                        </w:rPr>
                        <w:t>Y= 0.198 + (-1.478)(x</w:t>
                      </w:r>
                      <w:r>
                        <w:rPr>
                          <w:rFonts w:ascii="Times New Roman" w:hAnsi="Times New Roman" w:cs="Times New Roman"/>
                          <w:b/>
                          <w:bCs/>
                          <w:sz w:val="24"/>
                          <w:szCs w:val="24"/>
                          <w:vertAlign w:val="subscript"/>
                          <w:lang w:val="en-US"/>
                        </w:rPr>
                        <w:t>1</w:t>
                      </w:r>
                      <w:r>
                        <w:rPr>
                          <w:rFonts w:ascii="Times New Roman" w:hAnsi="Times New Roman" w:cs="Times New Roman"/>
                          <w:b/>
                          <w:bCs/>
                          <w:sz w:val="24"/>
                          <w:szCs w:val="24"/>
                          <w:lang w:val="en-US"/>
                        </w:rPr>
                        <w:t>) – 0.866</w:t>
                      </w:r>
                    </w:p>
                  </w:txbxContent>
                </v:textbox>
              </v:shape>
            </w:pict>
          </mc:Fallback>
        </mc:AlternateContent>
      </w:r>
    </w:p>
    <w:p w:rsidR="003E6D75" w:rsidRDefault="003E6D75">
      <w:pPr>
        <w:pStyle w:val="ListParagraph1"/>
        <w:spacing w:before="0" w:beforeAutospacing="0" w:after="0" w:afterAutospacing="0" w:line="240" w:lineRule="auto"/>
        <w:jc w:val="both"/>
        <w:rPr>
          <w:rFonts w:ascii="Times New Roman" w:hAnsi="Times New Roman"/>
          <w:bCs/>
          <w:sz w:val="22"/>
          <w:szCs w:val="22"/>
          <w:lang w:val="en-US"/>
        </w:rPr>
      </w:pPr>
    </w:p>
    <w:p w:rsidR="003E6D75" w:rsidRDefault="003E6D75">
      <w:pPr>
        <w:pStyle w:val="ListParagraph1"/>
        <w:spacing w:before="0" w:beforeAutospacing="0" w:after="0" w:afterAutospacing="0" w:line="240" w:lineRule="auto"/>
        <w:jc w:val="both"/>
        <w:rPr>
          <w:rFonts w:ascii="Times New Roman" w:hAnsi="Times New Roman"/>
          <w:bCs/>
          <w:sz w:val="22"/>
          <w:szCs w:val="22"/>
          <w:lang w:val="en-US"/>
        </w:rPr>
      </w:pPr>
    </w:p>
    <w:p w:rsidR="003E6D75" w:rsidRDefault="00066F77">
      <w:pPr>
        <w:pStyle w:val="ListParagraph1"/>
        <w:spacing w:before="0" w:beforeAutospacing="0" w:after="0" w:afterAutospacing="0" w:line="240" w:lineRule="auto"/>
        <w:jc w:val="both"/>
        <w:rPr>
          <w:rFonts w:ascii="Times New Roman" w:hAnsi="Times New Roman"/>
          <w:bCs/>
          <w:sz w:val="22"/>
          <w:szCs w:val="22"/>
          <w:lang w:val="en-US"/>
        </w:rPr>
      </w:pPr>
      <w:r>
        <w:rPr>
          <w:rFonts w:ascii="Times New Roman" w:hAnsi="Times New Roman"/>
          <w:bCs/>
          <w:sz w:val="22"/>
          <w:szCs w:val="22"/>
          <w:lang w:val="en-US"/>
        </w:rPr>
        <w:t xml:space="preserve">Keterangan: </w:t>
      </w:r>
    </w:p>
    <w:p w:rsidR="003E6D75" w:rsidRDefault="00066F77">
      <w:pPr>
        <w:pStyle w:val="ListParagraph1"/>
        <w:spacing w:before="0" w:beforeAutospacing="0" w:after="0" w:afterAutospacing="0" w:line="240" w:lineRule="auto"/>
        <w:ind w:firstLine="720"/>
        <w:jc w:val="both"/>
        <w:rPr>
          <w:rFonts w:ascii="Times New Roman" w:hAnsi="Times New Roman"/>
          <w:bCs/>
          <w:sz w:val="22"/>
          <w:szCs w:val="22"/>
          <w:lang w:val="en-US"/>
        </w:rPr>
      </w:pPr>
      <w:r>
        <w:rPr>
          <w:rFonts w:ascii="Times New Roman" w:hAnsi="Times New Roman"/>
          <w:bCs/>
          <w:sz w:val="22"/>
          <w:szCs w:val="22"/>
          <w:lang w:val="en-US"/>
        </w:rPr>
        <w:t xml:space="preserve">Y = </w:t>
      </w:r>
      <w:r>
        <w:rPr>
          <w:rFonts w:ascii="Times New Roman" w:hAnsi="Times New Roman"/>
          <w:bCs/>
          <w:i/>
          <w:sz w:val="22"/>
          <w:szCs w:val="22"/>
          <w:lang w:val="en-US"/>
        </w:rPr>
        <w:t xml:space="preserve">Return On Asset </w:t>
      </w:r>
      <w:r>
        <w:rPr>
          <w:rFonts w:ascii="Times New Roman" w:hAnsi="Times New Roman"/>
          <w:bCs/>
          <w:sz w:val="22"/>
          <w:szCs w:val="22"/>
          <w:lang w:val="en-US"/>
        </w:rPr>
        <w:t>( ROA)</w:t>
      </w:r>
    </w:p>
    <w:p w:rsidR="003E6D75" w:rsidRDefault="00066F77">
      <w:pPr>
        <w:pStyle w:val="ListParagraph1"/>
        <w:spacing w:before="0" w:beforeAutospacing="0" w:after="0" w:afterAutospacing="0" w:line="240" w:lineRule="auto"/>
        <w:ind w:firstLine="720"/>
        <w:jc w:val="both"/>
        <w:rPr>
          <w:rFonts w:ascii="Times New Roman" w:hAnsi="Times New Roman"/>
          <w:bCs/>
          <w:sz w:val="22"/>
          <w:szCs w:val="22"/>
          <w:lang w:val="en-US"/>
        </w:rPr>
      </w:pPr>
      <w:r>
        <w:rPr>
          <w:rFonts w:ascii="Times New Roman" w:hAnsi="Times New Roman"/>
          <w:bCs/>
          <w:sz w:val="22"/>
          <w:szCs w:val="22"/>
          <w:lang w:val="en-US"/>
        </w:rPr>
        <w:t>X</w:t>
      </w:r>
      <w:r>
        <w:rPr>
          <w:rFonts w:ascii="Times New Roman" w:hAnsi="Times New Roman"/>
          <w:bCs/>
          <w:sz w:val="22"/>
          <w:szCs w:val="22"/>
          <w:vertAlign w:val="subscript"/>
          <w:lang w:val="en-US"/>
        </w:rPr>
        <w:t>1</w:t>
      </w:r>
      <w:r>
        <w:rPr>
          <w:rFonts w:ascii="Times New Roman" w:hAnsi="Times New Roman"/>
          <w:bCs/>
          <w:sz w:val="22"/>
          <w:szCs w:val="22"/>
          <w:lang w:val="en-US"/>
        </w:rPr>
        <w:t xml:space="preserve">= </w:t>
      </w:r>
      <w:r>
        <w:rPr>
          <w:rFonts w:ascii="Times New Roman" w:hAnsi="Times New Roman"/>
          <w:bCs/>
          <w:i/>
          <w:sz w:val="22"/>
          <w:szCs w:val="22"/>
          <w:lang w:val="en-US"/>
        </w:rPr>
        <w:t xml:space="preserve">Capital Adequacy Ratio </w:t>
      </w:r>
      <w:r>
        <w:rPr>
          <w:rFonts w:ascii="Times New Roman" w:hAnsi="Times New Roman"/>
          <w:bCs/>
          <w:sz w:val="22"/>
          <w:szCs w:val="22"/>
          <w:lang w:val="en-US"/>
        </w:rPr>
        <w:t>(CAR)</w:t>
      </w:r>
    </w:p>
    <w:p w:rsidR="003E6D75" w:rsidRDefault="00066F77">
      <w:pPr>
        <w:pStyle w:val="ListParagraph1"/>
        <w:spacing w:before="0" w:beforeAutospacing="0" w:after="0" w:afterAutospacing="0" w:line="240" w:lineRule="auto"/>
        <w:ind w:firstLine="720"/>
        <w:jc w:val="both"/>
        <w:rPr>
          <w:rFonts w:ascii="Times New Roman" w:hAnsi="Times New Roman"/>
          <w:bCs/>
          <w:sz w:val="22"/>
          <w:szCs w:val="22"/>
          <w:lang w:val="en-US"/>
        </w:rPr>
      </w:pPr>
      <w:r>
        <w:rPr>
          <w:rFonts w:ascii="Times New Roman" w:hAnsi="Times New Roman"/>
          <w:bCs/>
          <w:sz w:val="22"/>
          <w:szCs w:val="22"/>
          <w:lang w:val="en-US"/>
        </w:rPr>
        <w:t>X</w:t>
      </w:r>
      <w:r>
        <w:rPr>
          <w:rFonts w:ascii="Times New Roman" w:hAnsi="Times New Roman"/>
          <w:bCs/>
          <w:sz w:val="22"/>
          <w:szCs w:val="22"/>
          <w:vertAlign w:val="subscript"/>
          <w:lang w:val="en-US"/>
        </w:rPr>
        <w:t>2</w:t>
      </w:r>
      <w:r>
        <w:rPr>
          <w:rFonts w:ascii="Times New Roman" w:hAnsi="Times New Roman"/>
          <w:bCs/>
          <w:sz w:val="22"/>
          <w:szCs w:val="22"/>
          <w:lang w:val="en-US"/>
        </w:rPr>
        <w:t xml:space="preserve">= </w:t>
      </w:r>
      <w:r>
        <w:rPr>
          <w:rFonts w:ascii="Times New Roman" w:hAnsi="Times New Roman"/>
          <w:bCs/>
          <w:i/>
          <w:sz w:val="22"/>
          <w:szCs w:val="22"/>
          <w:lang w:val="en-US"/>
        </w:rPr>
        <w:t>Financing to Deposit Ratio</w:t>
      </w:r>
      <w:r>
        <w:rPr>
          <w:rFonts w:ascii="Times New Roman" w:hAnsi="Times New Roman"/>
          <w:bCs/>
          <w:sz w:val="22"/>
          <w:szCs w:val="22"/>
          <w:lang w:val="en-US"/>
        </w:rPr>
        <w:t xml:space="preserve"> (FDR)</w:t>
      </w:r>
    </w:p>
    <w:p w:rsidR="003E6D75" w:rsidRDefault="00066F77">
      <w:pPr>
        <w:pStyle w:val="ListParagraph1"/>
        <w:spacing w:before="0" w:beforeAutospacing="0" w:after="0" w:afterAutospacing="0" w:line="240" w:lineRule="auto"/>
        <w:ind w:left="360"/>
        <w:jc w:val="both"/>
        <w:rPr>
          <w:rFonts w:ascii="Times New Roman" w:hAnsi="Times New Roman"/>
          <w:b/>
          <w:bCs/>
          <w:sz w:val="22"/>
          <w:szCs w:val="22"/>
          <w:lang w:val="en-US"/>
        </w:rPr>
      </w:pPr>
      <w:r>
        <w:rPr>
          <w:rFonts w:ascii="Times New Roman" w:hAnsi="Times New Roman"/>
          <w:b/>
          <w:bCs/>
          <w:sz w:val="22"/>
          <w:szCs w:val="22"/>
          <w:lang w:val="en-US"/>
        </w:rPr>
        <w:t>Analisis Koefisien Korelasi</w:t>
      </w:r>
    </w:p>
    <w:p w:rsidR="003E6D75" w:rsidRDefault="00066F77">
      <w:pPr>
        <w:spacing w:after="0" w:line="240" w:lineRule="auto"/>
        <w:ind w:left="360" w:firstLine="716"/>
        <w:jc w:val="both"/>
        <w:rPr>
          <w:rFonts w:ascii="Times New Roman" w:hAnsi="Times New Roman" w:cs="Times New Roman"/>
          <w:bCs/>
          <w:lang w:val="en-US"/>
        </w:rPr>
      </w:pPr>
      <w:r>
        <w:rPr>
          <w:rFonts w:ascii="Times New Roman" w:hAnsi="Times New Roman" w:cs="Times New Roman"/>
          <w:bCs/>
          <w:lang w:val="en-US"/>
        </w:rPr>
        <w:t xml:space="preserve">Analisis </w:t>
      </w:r>
      <w:r>
        <w:rPr>
          <w:rFonts w:ascii="Times New Roman" w:hAnsi="Times New Roman" w:cs="Times New Roman"/>
          <w:bCs/>
          <w:lang w:val="en-US"/>
        </w:rPr>
        <w:t>koefisien kolerasi merupakan analisis yang digunakan untuk mengetahui hubungan antara variable bebas dengan variable terikat bergantung secara bersama-sama dan untuk mengukur seberapa besar variasi perubahan variable bebas mampu menjelaskan variasi perubah</w:t>
      </w:r>
      <w:r>
        <w:rPr>
          <w:rFonts w:ascii="Times New Roman" w:hAnsi="Times New Roman" w:cs="Times New Roman"/>
          <w:bCs/>
          <w:lang w:val="en-US"/>
        </w:rPr>
        <w:t>an variable terikat. Hasil analisis dapat dilihat pada tabel 4.8 berikut:</w:t>
      </w:r>
    </w:p>
    <w:p w:rsidR="003E6D75" w:rsidRDefault="00066F77">
      <w:pPr>
        <w:spacing w:after="0" w:line="240" w:lineRule="auto"/>
        <w:ind w:left="360"/>
        <w:jc w:val="center"/>
        <w:rPr>
          <w:rFonts w:ascii="Times New Roman" w:hAnsi="Times New Roman" w:cs="Times New Roman"/>
          <w:bCs/>
          <w:lang w:val="en-US"/>
        </w:rPr>
      </w:pPr>
      <w:r>
        <w:rPr>
          <w:rFonts w:ascii="Times New Roman" w:hAnsi="Times New Roman" w:cs="Times New Roman"/>
          <w:b/>
          <w:bCs/>
          <w:lang w:val="en-US"/>
        </w:rPr>
        <w:t>Tabel 4.8</w:t>
      </w:r>
    </w:p>
    <w:tbl>
      <w:tblPr>
        <w:tblW w:w="584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5"/>
        <w:gridCol w:w="1024"/>
        <w:gridCol w:w="1086"/>
        <w:gridCol w:w="1469"/>
        <w:gridCol w:w="1469"/>
      </w:tblGrid>
      <w:tr w:rsidR="003E6D75">
        <w:trPr>
          <w:cantSplit/>
          <w:jc w:val="center"/>
        </w:trPr>
        <w:tc>
          <w:tcPr>
            <w:tcW w:w="5843" w:type="dxa"/>
            <w:gridSpan w:val="5"/>
            <w:tcBorders>
              <w:top w:val="nil"/>
              <w:left w:val="nil"/>
              <w:bottom w:val="nil"/>
              <w:right w:val="nil"/>
            </w:tcBorders>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hAnsi="Times New Roman" w:cs="Times New Roman"/>
                <w:color w:val="010205"/>
                <w:lang w:val="en-US"/>
              </w:rPr>
            </w:pPr>
            <w:r>
              <w:rPr>
                <w:rFonts w:ascii="Times New Roman" w:hAnsi="Times New Roman" w:cs="Times New Roman"/>
                <w:b/>
                <w:bCs/>
                <w:color w:val="010205"/>
                <w:lang w:val="en-US"/>
              </w:rPr>
              <w:t>Model Summary</w:t>
            </w:r>
          </w:p>
        </w:tc>
      </w:tr>
      <w:tr w:rsidR="003E6D75">
        <w:trPr>
          <w:cantSplit/>
          <w:jc w:val="center"/>
        </w:trPr>
        <w:tc>
          <w:tcPr>
            <w:tcW w:w="795" w:type="dxa"/>
            <w:tcBorders>
              <w:top w:val="nil"/>
              <w:left w:val="nil"/>
              <w:bottom w:val="single" w:sz="8" w:space="0" w:color="152935"/>
              <w:right w:val="nil"/>
            </w:tcBorders>
            <w:shd w:val="clear" w:color="auto" w:fill="FFFFFF"/>
            <w:vAlign w:val="bottom"/>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Model</w:t>
            </w:r>
          </w:p>
        </w:tc>
        <w:tc>
          <w:tcPr>
            <w:tcW w:w="1024" w:type="dxa"/>
            <w:tcBorders>
              <w:top w:val="nil"/>
              <w:left w:val="nil"/>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Adjusted R Square</w:t>
            </w:r>
          </w:p>
        </w:tc>
        <w:tc>
          <w:tcPr>
            <w:tcW w:w="1469" w:type="dxa"/>
            <w:tcBorders>
              <w:top w:val="nil"/>
              <w:left w:val="single" w:sz="8" w:space="0" w:color="E0E0E0"/>
              <w:bottom w:val="single" w:sz="8" w:space="0" w:color="152935"/>
              <w:right w:val="nil"/>
            </w:tcBorders>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Std. Error of the Estimate</w:t>
            </w:r>
          </w:p>
        </w:tc>
      </w:tr>
      <w:tr w:rsidR="003E6D75">
        <w:trPr>
          <w:cantSplit/>
          <w:jc w:val="center"/>
        </w:trPr>
        <w:tc>
          <w:tcPr>
            <w:tcW w:w="795" w:type="dxa"/>
            <w:tcBorders>
              <w:top w:val="single" w:sz="8" w:space="0" w:color="152935"/>
              <w:left w:val="nil"/>
              <w:bottom w:val="single" w:sz="8" w:space="0" w:color="152935"/>
              <w:right w:val="nil"/>
            </w:tcBorders>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1</w:t>
            </w:r>
          </w:p>
        </w:tc>
        <w:tc>
          <w:tcPr>
            <w:tcW w:w="1024" w:type="dxa"/>
            <w:tcBorders>
              <w:top w:val="single" w:sz="8" w:space="0" w:color="152935"/>
              <w:left w:val="nil"/>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.613</w:t>
            </w:r>
            <w:r>
              <w:rPr>
                <w:rFonts w:ascii="Times New Roman" w:hAnsi="Times New Roman" w:cs="Times New Roman"/>
                <w:color w:val="010205"/>
                <w:vertAlign w:val="superscript"/>
                <w:lang w:val="en-US"/>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.375</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.302</w:t>
            </w:r>
          </w:p>
        </w:tc>
        <w:tc>
          <w:tcPr>
            <w:tcW w:w="1469" w:type="dxa"/>
            <w:tcBorders>
              <w:top w:val="single" w:sz="8" w:space="0" w:color="152935"/>
              <w:left w:val="single" w:sz="8" w:space="0" w:color="E0E0E0"/>
              <w:bottom w:val="single" w:sz="8" w:space="0" w:color="152935"/>
              <w:right w:val="nil"/>
            </w:tcBorders>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.093</w:t>
            </w:r>
          </w:p>
        </w:tc>
      </w:tr>
      <w:tr w:rsidR="003E6D75">
        <w:trPr>
          <w:cantSplit/>
          <w:jc w:val="center"/>
        </w:trPr>
        <w:tc>
          <w:tcPr>
            <w:tcW w:w="5843" w:type="dxa"/>
            <w:gridSpan w:val="5"/>
            <w:tcBorders>
              <w:top w:val="nil"/>
              <w:left w:val="nil"/>
              <w:bottom w:val="nil"/>
              <w:right w:val="nil"/>
            </w:tcBorders>
            <w:shd w:val="clear" w:color="auto" w:fill="FFFFFF"/>
          </w:tcPr>
          <w:p w:rsidR="003E6D75" w:rsidRDefault="00066F77">
            <w:pPr>
              <w:pStyle w:val="ListParagraph1"/>
              <w:numPr>
                <w:ilvl w:val="0"/>
                <w:numId w:val="4"/>
              </w:numPr>
              <w:autoSpaceDE w:val="0"/>
              <w:autoSpaceDN w:val="0"/>
              <w:adjustRightInd w:val="0"/>
              <w:spacing w:before="0" w:beforeAutospacing="0" w:after="0" w:afterAutospacing="0" w:line="240" w:lineRule="auto"/>
              <w:ind w:right="60"/>
              <w:rPr>
                <w:rFonts w:ascii="Times New Roman" w:hAnsi="Times New Roman"/>
                <w:color w:val="010205"/>
                <w:sz w:val="22"/>
                <w:szCs w:val="22"/>
                <w:lang w:val="en-US"/>
              </w:rPr>
            </w:pPr>
            <w:r>
              <w:rPr>
                <w:rFonts w:ascii="Times New Roman" w:hAnsi="Times New Roman"/>
                <w:color w:val="010205"/>
                <w:sz w:val="22"/>
                <w:szCs w:val="22"/>
                <w:lang w:val="en-US"/>
              </w:rPr>
              <w:t>Predictors: (Constant), FDR, CAR</w:t>
            </w:r>
          </w:p>
          <w:p w:rsidR="003E6D75" w:rsidRDefault="00066F77">
            <w:pPr>
              <w:pStyle w:val="ListParagraph1"/>
              <w:numPr>
                <w:ilvl w:val="0"/>
                <w:numId w:val="4"/>
              </w:numPr>
              <w:autoSpaceDE w:val="0"/>
              <w:autoSpaceDN w:val="0"/>
              <w:adjustRightInd w:val="0"/>
              <w:spacing w:before="0" w:beforeAutospacing="0" w:after="0" w:afterAutospacing="0" w:line="240" w:lineRule="auto"/>
              <w:ind w:right="60"/>
              <w:rPr>
                <w:rFonts w:ascii="Times New Roman" w:hAnsi="Times New Roman"/>
                <w:color w:val="010205"/>
                <w:sz w:val="22"/>
                <w:szCs w:val="22"/>
                <w:lang w:val="en-US"/>
              </w:rPr>
            </w:pPr>
            <w:r>
              <w:rPr>
                <w:rFonts w:ascii="Times New Roman" w:hAnsi="Times New Roman"/>
                <w:color w:val="010205"/>
                <w:sz w:val="22"/>
                <w:szCs w:val="22"/>
                <w:lang w:val="en-US"/>
              </w:rPr>
              <w:t>Dipendent Variable : ROA</w:t>
            </w:r>
          </w:p>
        </w:tc>
      </w:tr>
    </w:tbl>
    <w:p w:rsidR="003E6D75" w:rsidRDefault="00066F77">
      <w:pPr>
        <w:spacing w:after="0" w:line="240" w:lineRule="auto"/>
        <w:ind w:left="360"/>
        <w:jc w:val="both"/>
        <w:rPr>
          <w:rFonts w:ascii="Times New Roman" w:hAnsi="Times New Roman" w:cs="Times New Roman"/>
          <w:b/>
          <w:bCs/>
          <w:lang w:val="en-US"/>
        </w:rPr>
      </w:pPr>
      <w:r>
        <w:rPr>
          <w:rFonts w:ascii="Times New Roman" w:hAnsi="Times New Roman" w:cs="Times New Roman"/>
          <w:b/>
          <w:bCs/>
          <w:lang w:val="en-US"/>
        </w:rPr>
        <w:t xml:space="preserve">Sumber: </w:t>
      </w:r>
      <w:r>
        <w:rPr>
          <w:rFonts w:ascii="Times New Roman" w:hAnsi="Times New Roman" w:cs="Times New Roman"/>
          <w:b/>
          <w:bCs/>
          <w:lang w:val="en-US"/>
        </w:rPr>
        <w:t>Data Sekunder yang Diolah Menggunakan SPSS 24 (201</w:t>
      </w:r>
      <w:r>
        <w:rPr>
          <w:rFonts w:ascii="Times New Roman" w:hAnsi="Times New Roman" w:cs="Times New Roman"/>
          <w:b/>
          <w:bCs/>
        </w:rPr>
        <w:t>8</w:t>
      </w:r>
      <w:r>
        <w:rPr>
          <w:rFonts w:ascii="Times New Roman" w:hAnsi="Times New Roman" w:cs="Times New Roman"/>
          <w:b/>
          <w:bCs/>
          <w:lang w:val="en-US"/>
        </w:rPr>
        <w:t>)</w:t>
      </w:r>
    </w:p>
    <w:p w:rsidR="003E6D75" w:rsidRDefault="00066F77">
      <w:pPr>
        <w:spacing w:after="0" w:line="240" w:lineRule="auto"/>
        <w:jc w:val="both"/>
        <w:rPr>
          <w:rFonts w:ascii="Times New Roman" w:hAnsi="Times New Roman" w:cs="Times New Roman"/>
          <w:bCs/>
          <w:lang w:val="en-US"/>
        </w:rPr>
      </w:pPr>
      <w:r>
        <w:rPr>
          <w:rFonts w:ascii="Times New Roman" w:hAnsi="Times New Roman" w:cs="Times New Roman"/>
          <w:b/>
          <w:bCs/>
          <w:lang w:val="en-US"/>
        </w:rPr>
        <w:tab/>
      </w:r>
      <w:r>
        <w:rPr>
          <w:rFonts w:ascii="Times New Roman" w:hAnsi="Times New Roman" w:cs="Times New Roman"/>
          <w:bCs/>
          <w:lang w:val="en-US"/>
        </w:rPr>
        <w:t xml:space="preserve">Berdasarkan hasil pengolahan data SPSS 24 pada tabel 4.8 menunjukkan bahwa nilai koefisien korelasi sebesar 0,613 berarti terdapat hubungan antara </w:t>
      </w:r>
      <w:r>
        <w:rPr>
          <w:rFonts w:ascii="Times New Roman" w:hAnsi="Times New Roman" w:cs="Times New Roman"/>
          <w:bCs/>
          <w:i/>
          <w:lang w:val="en-US"/>
        </w:rPr>
        <w:t xml:space="preserve">Capital Adequacy Ratio </w:t>
      </w:r>
      <w:r>
        <w:rPr>
          <w:rFonts w:ascii="Times New Roman" w:hAnsi="Times New Roman" w:cs="Times New Roman"/>
          <w:bCs/>
          <w:lang w:val="en-US"/>
        </w:rPr>
        <w:t xml:space="preserve">(CAR) dan </w:t>
      </w:r>
      <w:r>
        <w:rPr>
          <w:rFonts w:ascii="Times New Roman" w:hAnsi="Times New Roman" w:cs="Times New Roman"/>
          <w:bCs/>
          <w:i/>
          <w:lang w:val="en-US"/>
        </w:rPr>
        <w:t>Financing to Deposit R</w:t>
      </w:r>
      <w:r>
        <w:rPr>
          <w:rFonts w:ascii="Times New Roman" w:hAnsi="Times New Roman" w:cs="Times New Roman"/>
          <w:bCs/>
          <w:i/>
          <w:lang w:val="en-US"/>
        </w:rPr>
        <w:t xml:space="preserve">atio </w:t>
      </w:r>
      <w:r>
        <w:rPr>
          <w:rFonts w:ascii="Times New Roman" w:hAnsi="Times New Roman" w:cs="Times New Roman"/>
          <w:bCs/>
          <w:lang w:val="en-US"/>
        </w:rPr>
        <w:t xml:space="preserve">(FDR) terhadap </w:t>
      </w:r>
      <w:r>
        <w:rPr>
          <w:rFonts w:ascii="Times New Roman" w:hAnsi="Times New Roman" w:cs="Times New Roman"/>
          <w:bCs/>
          <w:i/>
          <w:lang w:val="en-US"/>
        </w:rPr>
        <w:t xml:space="preserve">Return On Asset </w:t>
      </w:r>
      <w:r>
        <w:rPr>
          <w:rFonts w:ascii="Times New Roman" w:hAnsi="Times New Roman" w:cs="Times New Roman"/>
          <w:bCs/>
          <w:lang w:val="en-US"/>
        </w:rPr>
        <w:t>(ROA). Karena bila koefisien berada pada interval 0,80-1,00 menunjukkan hubungan sangat kuat sesuai dengan pedoman.</w:t>
      </w:r>
    </w:p>
    <w:p w:rsidR="003E6D75" w:rsidRDefault="00066F77">
      <w:pPr>
        <w:spacing w:after="0" w:line="240" w:lineRule="auto"/>
        <w:jc w:val="center"/>
        <w:rPr>
          <w:rFonts w:ascii="Times New Roman" w:hAnsi="Times New Roman" w:cs="Times New Roman"/>
          <w:b/>
          <w:bCs/>
          <w:lang w:val="en-US"/>
        </w:rPr>
      </w:pPr>
      <w:r>
        <w:rPr>
          <w:rFonts w:ascii="Times New Roman" w:hAnsi="Times New Roman" w:cs="Times New Roman"/>
          <w:b/>
          <w:bCs/>
          <w:lang w:val="en-US"/>
        </w:rPr>
        <w:t>Tabel 4.9</w:t>
      </w:r>
    </w:p>
    <w:p w:rsidR="003E6D75" w:rsidRDefault="00066F77">
      <w:pPr>
        <w:spacing w:after="0" w:line="240" w:lineRule="auto"/>
        <w:jc w:val="center"/>
        <w:rPr>
          <w:rFonts w:ascii="Times New Roman" w:hAnsi="Times New Roman" w:cs="Times New Roman"/>
          <w:b/>
          <w:bCs/>
          <w:lang w:val="en-US"/>
        </w:rPr>
      </w:pPr>
      <w:r>
        <w:rPr>
          <w:rFonts w:ascii="Times New Roman" w:hAnsi="Times New Roman" w:cs="Times New Roman"/>
          <w:b/>
          <w:bCs/>
          <w:lang w:val="en-US"/>
        </w:rPr>
        <w:t>Pedoman Interprestasi Koefisien Korelasi</w:t>
      </w:r>
    </w:p>
    <w:tbl>
      <w:tblPr>
        <w:tblStyle w:val="TableGrid"/>
        <w:tblW w:w="8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8" w:type="dxa"/>
          <w:right w:w="108" w:type="dxa"/>
        </w:tblCellMar>
        <w:tblLook w:val="04A0" w:firstRow="1" w:lastRow="0" w:firstColumn="1" w:lastColumn="0" w:noHBand="0" w:noVBand="1"/>
      </w:tblPr>
      <w:tblGrid>
        <w:gridCol w:w="4076"/>
        <w:gridCol w:w="4077"/>
      </w:tblGrid>
      <w:tr w:rsidR="003E6D75">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 xml:space="preserve">Interval Koefisien </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Tingkat hubungan</w:t>
            </w:r>
          </w:p>
        </w:tc>
      </w:tr>
      <w:tr w:rsidR="003E6D75">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0,00-0,199</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Sangat  rendah</w:t>
            </w:r>
          </w:p>
        </w:tc>
      </w:tr>
      <w:tr w:rsidR="003E6D75">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0,20-0,399</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Rendah</w:t>
            </w:r>
          </w:p>
        </w:tc>
      </w:tr>
      <w:tr w:rsidR="003E6D75">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0,40-0,599</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Sedang</w:t>
            </w:r>
          </w:p>
        </w:tc>
      </w:tr>
      <w:tr w:rsidR="003E6D75">
        <w:trPr>
          <w:trHeight w:val="345"/>
        </w:trPr>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0,60-0,799</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Kuat</w:t>
            </w:r>
          </w:p>
        </w:tc>
      </w:tr>
      <w:tr w:rsidR="003E6D75">
        <w:trPr>
          <w:trHeight w:val="188"/>
        </w:trPr>
        <w:tc>
          <w:tcPr>
            <w:tcW w:w="4076"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0,80-1,00</w:t>
            </w:r>
          </w:p>
        </w:tc>
        <w:tc>
          <w:tcPr>
            <w:tcW w:w="4077" w:type="dxa"/>
          </w:tcPr>
          <w:p w:rsidR="003E6D75" w:rsidRDefault="00066F77">
            <w:pPr>
              <w:widowControl w:val="0"/>
              <w:spacing w:after="0" w:line="240" w:lineRule="auto"/>
              <w:jc w:val="center"/>
              <w:rPr>
                <w:rFonts w:ascii="Times New Roman" w:hAnsi="Times New Roman" w:cs="Times New Roman"/>
                <w:bCs/>
                <w:lang w:val="en-US"/>
              </w:rPr>
            </w:pPr>
            <w:r>
              <w:rPr>
                <w:rFonts w:ascii="Times New Roman" w:hAnsi="Times New Roman" w:cs="Times New Roman"/>
                <w:bCs/>
                <w:lang w:val="en-US"/>
              </w:rPr>
              <w:t>Sangat kuat</w:t>
            </w:r>
          </w:p>
        </w:tc>
      </w:tr>
    </w:tbl>
    <w:p w:rsidR="003E6D75" w:rsidRDefault="00066F77">
      <w:pPr>
        <w:spacing w:after="0" w:line="240" w:lineRule="auto"/>
        <w:jc w:val="center"/>
        <w:rPr>
          <w:rFonts w:ascii="Times New Roman" w:hAnsi="Times New Roman" w:cs="Times New Roman"/>
          <w:b/>
          <w:bCs/>
          <w:lang w:val="en-US"/>
        </w:rPr>
      </w:pPr>
      <w:r>
        <w:rPr>
          <w:rFonts w:ascii="Times New Roman" w:hAnsi="Times New Roman" w:cs="Times New Roman"/>
          <w:b/>
          <w:bCs/>
          <w:lang w:val="en-US"/>
        </w:rPr>
        <w:t>Sumber: Sugiyono (2011:231)</w:t>
      </w:r>
    </w:p>
    <w:p w:rsidR="003E6D75" w:rsidRDefault="00066F77">
      <w:pPr>
        <w:pStyle w:val="ListParagraph1"/>
        <w:spacing w:before="0" w:beforeAutospacing="0" w:after="0" w:afterAutospacing="0" w:line="240" w:lineRule="auto"/>
        <w:jc w:val="both"/>
        <w:rPr>
          <w:rFonts w:ascii="Times New Roman" w:hAnsi="Times New Roman"/>
          <w:b/>
          <w:bCs/>
          <w:sz w:val="22"/>
          <w:szCs w:val="22"/>
          <w:lang w:val="en-US"/>
        </w:rPr>
      </w:pPr>
      <w:r>
        <w:rPr>
          <w:rFonts w:ascii="Times New Roman" w:hAnsi="Times New Roman"/>
          <w:b/>
          <w:bCs/>
          <w:sz w:val="22"/>
          <w:szCs w:val="22"/>
          <w:lang w:val="en-US"/>
        </w:rPr>
        <w:t>Analisis Koefisien Determinasi (R</w:t>
      </w:r>
      <w:r>
        <w:rPr>
          <w:rFonts w:ascii="Times New Roman" w:hAnsi="Times New Roman"/>
          <w:b/>
          <w:bCs/>
          <w:sz w:val="22"/>
          <w:szCs w:val="22"/>
          <w:vertAlign w:val="superscript"/>
          <w:lang w:val="en-US"/>
        </w:rPr>
        <w:t>2</w:t>
      </w:r>
      <w:r>
        <w:rPr>
          <w:rFonts w:ascii="Times New Roman" w:hAnsi="Times New Roman"/>
          <w:b/>
          <w:bCs/>
          <w:sz w:val="22"/>
          <w:szCs w:val="22"/>
          <w:lang w:val="en-US"/>
        </w:rPr>
        <w:t>)</w:t>
      </w:r>
    </w:p>
    <w:p w:rsidR="003E6D75" w:rsidRDefault="00066F77">
      <w:pPr>
        <w:spacing w:after="0" w:line="240" w:lineRule="auto"/>
        <w:ind w:firstLine="720"/>
        <w:jc w:val="both"/>
        <w:rPr>
          <w:rFonts w:ascii="Times New Roman" w:hAnsi="Times New Roman" w:cs="Times New Roman"/>
          <w:bCs/>
          <w:lang w:val="en-US"/>
        </w:rPr>
      </w:pPr>
      <w:r>
        <w:rPr>
          <w:rFonts w:ascii="Times New Roman" w:hAnsi="Times New Roman" w:cs="Times New Roman"/>
          <w:bCs/>
          <w:lang w:val="en-US"/>
        </w:rPr>
        <w:t>Berdasarkan hasil pengolahan data SPSS 24 pada tabel 4.</w:t>
      </w:r>
      <w:r>
        <w:rPr>
          <w:rFonts w:ascii="Times New Roman" w:hAnsi="Times New Roman" w:cs="Times New Roman"/>
          <w:bCs/>
        </w:rPr>
        <w:t>9</w:t>
      </w:r>
      <w:r>
        <w:rPr>
          <w:rFonts w:ascii="Times New Roman" w:hAnsi="Times New Roman" w:cs="Times New Roman"/>
          <w:bCs/>
          <w:lang w:val="en-US"/>
        </w:rPr>
        <w:t xml:space="preserve">menunjukkan bahwa nilai R </w:t>
      </w:r>
      <w:r>
        <w:rPr>
          <w:rFonts w:ascii="Times New Roman" w:hAnsi="Times New Roman" w:cs="Times New Roman"/>
          <w:bCs/>
          <w:i/>
          <w:lang w:val="en-US"/>
        </w:rPr>
        <w:t xml:space="preserve">square </w:t>
      </w:r>
      <w:r>
        <w:rPr>
          <w:rFonts w:ascii="Times New Roman" w:hAnsi="Times New Roman" w:cs="Times New Roman"/>
          <w:bCs/>
          <w:lang w:val="en-US"/>
        </w:rPr>
        <w:t>(R</w:t>
      </w:r>
      <w:r>
        <w:rPr>
          <w:rFonts w:ascii="Times New Roman" w:hAnsi="Times New Roman" w:cs="Times New Roman"/>
          <w:bCs/>
          <w:vertAlign w:val="superscript"/>
          <w:lang w:val="en-US"/>
        </w:rPr>
        <w:t>2</w:t>
      </w:r>
      <w:r>
        <w:rPr>
          <w:rFonts w:ascii="Times New Roman" w:hAnsi="Times New Roman" w:cs="Times New Roman"/>
          <w:bCs/>
          <w:lang w:val="en-US"/>
        </w:rPr>
        <w:t xml:space="preserve">) adalah 0,375 atau 37,50% yang berarti presentase sumbangan pengaruh variabel </w:t>
      </w:r>
      <w:r>
        <w:rPr>
          <w:rFonts w:ascii="Times New Roman" w:hAnsi="Times New Roman" w:cs="Times New Roman"/>
          <w:bCs/>
          <w:i/>
          <w:lang w:val="en-US"/>
        </w:rPr>
        <w:t xml:space="preserve">Capital Adequacy Ratio </w:t>
      </w:r>
      <w:r>
        <w:rPr>
          <w:rFonts w:ascii="Times New Roman" w:hAnsi="Times New Roman" w:cs="Times New Roman"/>
          <w:bCs/>
          <w:lang w:val="en-US"/>
        </w:rPr>
        <w:t xml:space="preserve">(CAR) dan </w:t>
      </w:r>
      <w:r>
        <w:rPr>
          <w:rFonts w:ascii="Times New Roman" w:hAnsi="Times New Roman" w:cs="Times New Roman"/>
          <w:bCs/>
          <w:i/>
          <w:lang w:val="en-US"/>
        </w:rPr>
        <w:t xml:space="preserve">Financing to Deposit Ratio </w:t>
      </w:r>
      <w:r>
        <w:rPr>
          <w:rFonts w:ascii="Times New Roman" w:hAnsi="Times New Roman" w:cs="Times New Roman"/>
          <w:bCs/>
          <w:lang w:val="en-US"/>
        </w:rPr>
        <w:t xml:space="preserve">(FDR) terhadap </w:t>
      </w:r>
      <w:r>
        <w:rPr>
          <w:rFonts w:ascii="Times New Roman" w:hAnsi="Times New Roman" w:cs="Times New Roman"/>
          <w:bCs/>
          <w:i/>
          <w:lang w:val="en-US"/>
        </w:rPr>
        <w:t xml:space="preserve">Return On Asset </w:t>
      </w:r>
      <w:r>
        <w:rPr>
          <w:rFonts w:ascii="Times New Roman" w:hAnsi="Times New Roman" w:cs="Times New Roman"/>
          <w:bCs/>
          <w:lang w:val="en-US"/>
        </w:rPr>
        <w:t>(ROA) sebesar 37,50% sedangkan sisanya 62,50% diduga dipengaruhi variabel lain yang ti</w:t>
      </w:r>
      <w:r>
        <w:rPr>
          <w:rFonts w:ascii="Times New Roman" w:hAnsi="Times New Roman" w:cs="Times New Roman"/>
          <w:bCs/>
          <w:lang w:val="en-US"/>
        </w:rPr>
        <w:t>dak termasuk dalam penelitian.</w:t>
      </w:r>
    </w:p>
    <w:p w:rsidR="003E6D75" w:rsidRDefault="00066F77">
      <w:pPr>
        <w:spacing w:after="0" w:line="240" w:lineRule="auto"/>
        <w:jc w:val="both"/>
        <w:rPr>
          <w:rFonts w:ascii="Times New Roman" w:hAnsi="Times New Roman" w:cs="Times New Roman"/>
          <w:b/>
          <w:bCs/>
          <w:lang w:val="en-US"/>
        </w:rPr>
      </w:pPr>
      <w:r>
        <w:rPr>
          <w:rFonts w:ascii="Times New Roman" w:hAnsi="Times New Roman" w:cs="Times New Roman"/>
          <w:b/>
          <w:bCs/>
          <w:lang w:val="en-US"/>
        </w:rPr>
        <w:t>Uji Parsial (Uji t)</w:t>
      </w:r>
    </w:p>
    <w:p w:rsidR="003E6D75" w:rsidRDefault="00066F77">
      <w:pPr>
        <w:spacing w:after="0" w:line="240" w:lineRule="auto"/>
        <w:ind w:firstLine="720"/>
        <w:jc w:val="center"/>
        <w:rPr>
          <w:rFonts w:ascii="Times New Roman" w:hAnsi="Times New Roman" w:cs="Times New Roman"/>
          <w:b/>
          <w:bCs/>
        </w:rPr>
      </w:pPr>
      <w:r>
        <w:rPr>
          <w:rFonts w:ascii="Times New Roman" w:hAnsi="Times New Roman" w:cs="Times New Roman"/>
          <w:b/>
          <w:bCs/>
        </w:rPr>
        <w:t>Tabel 4.1</w:t>
      </w:r>
      <w:r>
        <w:rPr>
          <w:rFonts w:ascii="Times New Roman" w:hAnsi="Times New Roman" w:cs="Times New Roman"/>
          <w:b/>
          <w:bCs/>
        </w:rPr>
        <w:t>0</w:t>
      </w:r>
    </w:p>
    <w:p w:rsidR="003E6D75" w:rsidRDefault="00066F77">
      <w:pPr>
        <w:spacing w:after="0" w:line="240" w:lineRule="auto"/>
        <w:ind w:firstLine="720"/>
        <w:jc w:val="center"/>
        <w:rPr>
          <w:rFonts w:ascii="Times New Roman" w:hAnsi="Times New Roman" w:cs="Times New Roman"/>
          <w:b/>
          <w:bCs/>
        </w:rPr>
      </w:pPr>
      <w:r>
        <w:rPr>
          <w:rFonts w:ascii="Times New Roman" w:hAnsi="Times New Roman" w:cs="Times New Roman"/>
          <w:b/>
          <w:bCs/>
        </w:rPr>
        <w:t>Uji Parsial</w:t>
      </w:r>
    </w:p>
    <w:tbl>
      <w:tblPr>
        <w:tblW w:w="8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1178"/>
        <w:gridCol w:w="1331"/>
        <w:gridCol w:w="1331"/>
        <w:gridCol w:w="1469"/>
        <w:gridCol w:w="1025"/>
        <w:gridCol w:w="1025"/>
      </w:tblGrid>
      <w:tr w:rsidR="003E6D75">
        <w:trPr>
          <w:cantSplit/>
        </w:trPr>
        <w:tc>
          <w:tcPr>
            <w:tcW w:w="8092" w:type="dxa"/>
            <w:gridSpan w:val="7"/>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hAnsi="Times New Roman" w:cs="Times New Roman"/>
                <w:color w:val="010205"/>
                <w:lang w:val="en-US"/>
              </w:rPr>
            </w:pPr>
            <w:r>
              <w:rPr>
                <w:rFonts w:ascii="Times New Roman" w:hAnsi="Times New Roman" w:cs="Times New Roman"/>
                <w:b/>
                <w:bCs/>
                <w:color w:val="010205"/>
                <w:lang w:val="en-US"/>
              </w:rPr>
              <w:t>Coefficients</w:t>
            </w:r>
            <w:r>
              <w:rPr>
                <w:rFonts w:ascii="Times New Roman" w:hAnsi="Times New Roman" w:cs="Times New Roman"/>
                <w:b/>
                <w:bCs/>
                <w:color w:val="010205"/>
                <w:vertAlign w:val="superscript"/>
                <w:lang w:val="en-US"/>
              </w:rPr>
              <w:t>a</w:t>
            </w:r>
          </w:p>
        </w:tc>
      </w:tr>
      <w:tr w:rsidR="003E6D75">
        <w:trPr>
          <w:cantSplit/>
        </w:trPr>
        <w:tc>
          <w:tcPr>
            <w:tcW w:w="1911" w:type="dxa"/>
            <w:gridSpan w:val="2"/>
            <w:vMerge w:val="restart"/>
            <w:shd w:val="clear" w:color="auto" w:fill="FFFFFF"/>
            <w:vAlign w:val="bottom"/>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Model</w:t>
            </w:r>
          </w:p>
        </w:tc>
        <w:tc>
          <w:tcPr>
            <w:tcW w:w="2662" w:type="dxa"/>
            <w:gridSpan w:val="2"/>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Unstandardized Coefficients</w:t>
            </w:r>
          </w:p>
        </w:tc>
        <w:tc>
          <w:tcPr>
            <w:tcW w:w="1469"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Standardized Coefficients</w:t>
            </w:r>
          </w:p>
        </w:tc>
        <w:tc>
          <w:tcPr>
            <w:tcW w:w="1025" w:type="dxa"/>
            <w:vMerge w:val="restart"/>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t</w:t>
            </w:r>
          </w:p>
        </w:tc>
        <w:tc>
          <w:tcPr>
            <w:tcW w:w="1025" w:type="dxa"/>
            <w:vMerge w:val="restart"/>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Sig.</w:t>
            </w:r>
          </w:p>
        </w:tc>
      </w:tr>
      <w:tr w:rsidR="003E6D75">
        <w:trPr>
          <w:cantSplit/>
        </w:trPr>
        <w:tc>
          <w:tcPr>
            <w:tcW w:w="1911" w:type="dxa"/>
            <w:gridSpan w:val="2"/>
            <w:vMerge/>
            <w:shd w:val="clear" w:color="auto" w:fill="FFFFFF"/>
            <w:vAlign w:val="bottom"/>
          </w:tcPr>
          <w:p w:rsidR="003E6D75" w:rsidRDefault="003E6D75">
            <w:pPr>
              <w:autoSpaceDE w:val="0"/>
              <w:autoSpaceDN w:val="0"/>
              <w:adjustRightInd w:val="0"/>
              <w:spacing w:after="0" w:line="240" w:lineRule="auto"/>
              <w:rPr>
                <w:rFonts w:ascii="Times New Roman" w:hAnsi="Times New Roman" w:cs="Times New Roman"/>
                <w:color w:val="264A60"/>
                <w:lang w:val="en-US"/>
              </w:rPr>
            </w:pPr>
          </w:p>
        </w:tc>
        <w:tc>
          <w:tcPr>
            <w:tcW w:w="1331"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B</w:t>
            </w:r>
          </w:p>
        </w:tc>
        <w:tc>
          <w:tcPr>
            <w:tcW w:w="1331"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Std. Error</w:t>
            </w:r>
          </w:p>
        </w:tc>
        <w:tc>
          <w:tcPr>
            <w:tcW w:w="1469"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Beta</w:t>
            </w:r>
          </w:p>
        </w:tc>
        <w:tc>
          <w:tcPr>
            <w:tcW w:w="1025" w:type="dxa"/>
            <w:vMerge/>
            <w:shd w:val="clear" w:color="auto" w:fill="FFFFFF"/>
            <w:vAlign w:val="bottom"/>
          </w:tcPr>
          <w:p w:rsidR="003E6D75" w:rsidRDefault="003E6D75">
            <w:pPr>
              <w:autoSpaceDE w:val="0"/>
              <w:autoSpaceDN w:val="0"/>
              <w:adjustRightInd w:val="0"/>
              <w:spacing w:after="0" w:line="240" w:lineRule="auto"/>
              <w:rPr>
                <w:rFonts w:ascii="Times New Roman" w:hAnsi="Times New Roman" w:cs="Times New Roman"/>
                <w:color w:val="264A60"/>
                <w:lang w:val="en-US"/>
              </w:rPr>
            </w:pPr>
          </w:p>
        </w:tc>
        <w:tc>
          <w:tcPr>
            <w:tcW w:w="1025" w:type="dxa"/>
            <w:vMerge/>
            <w:shd w:val="clear" w:color="auto" w:fill="FFFFFF"/>
            <w:vAlign w:val="bottom"/>
          </w:tcPr>
          <w:p w:rsidR="003E6D75" w:rsidRDefault="003E6D75">
            <w:pPr>
              <w:autoSpaceDE w:val="0"/>
              <w:autoSpaceDN w:val="0"/>
              <w:adjustRightInd w:val="0"/>
              <w:spacing w:after="0" w:line="240" w:lineRule="auto"/>
              <w:rPr>
                <w:rFonts w:ascii="Times New Roman" w:hAnsi="Times New Roman" w:cs="Times New Roman"/>
                <w:color w:val="264A60"/>
                <w:lang w:val="en-US"/>
              </w:rPr>
            </w:pPr>
          </w:p>
        </w:tc>
      </w:tr>
      <w:tr w:rsidR="003E6D75">
        <w:trPr>
          <w:cantSplit/>
        </w:trPr>
        <w:tc>
          <w:tcPr>
            <w:tcW w:w="733" w:type="dxa"/>
            <w:vMerge w:val="restart"/>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lastRenderedPageBreak/>
              <w:t>1</w:t>
            </w:r>
          </w:p>
        </w:tc>
        <w:tc>
          <w:tcPr>
            <w:tcW w:w="1178"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(Constant)</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.198</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1.489</w:t>
            </w:r>
          </w:p>
        </w:tc>
        <w:tc>
          <w:tcPr>
            <w:tcW w:w="1469"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.133</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.896</w:t>
            </w:r>
          </w:p>
        </w:tc>
      </w:tr>
      <w:tr w:rsidR="003E6D75">
        <w:trPr>
          <w:cantSplit/>
        </w:trPr>
        <w:tc>
          <w:tcPr>
            <w:tcW w:w="733" w:type="dxa"/>
            <w:vMerge/>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178"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CAR</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-1.478</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.494</w:t>
            </w:r>
          </w:p>
        </w:tc>
        <w:tc>
          <w:tcPr>
            <w:tcW w:w="1469"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-.574</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-2.994</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.008</w:t>
            </w:r>
          </w:p>
        </w:tc>
      </w:tr>
      <w:tr w:rsidR="003E6D75">
        <w:trPr>
          <w:cantSplit/>
        </w:trPr>
        <w:tc>
          <w:tcPr>
            <w:tcW w:w="733" w:type="dxa"/>
            <w:vMerge/>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178"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FDR</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.866</w:t>
            </w:r>
          </w:p>
        </w:tc>
        <w:tc>
          <w:tcPr>
            <w:tcW w:w="1331"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.709</w:t>
            </w:r>
          </w:p>
        </w:tc>
        <w:tc>
          <w:tcPr>
            <w:tcW w:w="1469"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.234</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1.220</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.239</w:t>
            </w:r>
          </w:p>
        </w:tc>
      </w:tr>
      <w:tr w:rsidR="003E6D75">
        <w:trPr>
          <w:cantSplit/>
        </w:trPr>
        <w:tc>
          <w:tcPr>
            <w:tcW w:w="8092" w:type="dxa"/>
            <w:gridSpan w:val="7"/>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a. Dependent Variable: ROA</w:t>
            </w:r>
          </w:p>
        </w:tc>
      </w:tr>
    </w:tbl>
    <w:p w:rsidR="003E6D75" w:rsidRDefault="00066F77">
      <w:pPr>
        <w:spacing w:after="0" w:line="240" w:lineRule="auto"/>
        <w:ind w:firstLine="720"/>
        <w:jc w:val="center"/>
        <w:rPr>
          <w:rFonts w:ascii="Times New Roman" w:hAnsi="Times New Roman" w:cs="Times New Roman"/>
          <w:b/>
          <w:bCs/>
        </w:rPr>
      </w:pPr>
      <w:r>
        <w:rPr>
          <w:rFonts w:ascii="Times New Roman" w:hAnsi="Times New Roman" w:cs="Times New Roman"/>
          <w:b/>
          <w:bCs/>
        </w:rPr>
        <w:t>Sumber: Data Sekunder yang Diolah menggunakan SPSS 24 (2018)</w:t>
      </w:r>
    </w:p>
    <w:p w:rsidR="003E6D75" w:rsidRDefault="00066F77">
      <w:pPr>
        <w:spacing w:after="0" w:line="240" w:lineRule="auto"/>
        <w:jc w:val="both"/>
        <w:rPr>
          <w:rFonts w:ascii="Times New Roman" w:hAnsi="Times New Roman" w:cs="Times New Roman"/>
        </w:rPr>
      </w:pPr>
      <w:r>
        <w:rPr>
          <w:rFonts w:ascii="Times New Roman" w:hAnsi="Times New Roman" w:cs="Times New Roman"/>
        </w:rPr>
        <w:t>Langkah-langkah pengujian sebagai berikut:</w:t>
      </w:r>
    </w:p>
    <w:p w:rsidR="003E6D75" w:rsidRDefault="00066F77">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Pengujian koefisien variabel </w:t>
      </w:r>
      <w:r>
        <w:rPr>
          <w:rFonts w:ascii="Times New Roman" w:hAnsi="Times New Roman" w:cs="Times New Roman"/>
          <w:i/>
          <w:iCs/>
        </w:rPr>
        <w:t xml:space="preserve">Capital Adequacy Ratio </w:t>
      </w:r>
      <w:r>
        <w:rPr>
          <w:rFonts w:ascii="Times New Roman" w:hAnsi="Times New Roman" w:cs="Times New Roman"/>
        </w:rPr>
        <w:t>(CAR) (X1)</w:t>
      </w:r>
    </w:p>
    <w:p w:rsidR="003E6D75" w:rsidRDefault="00066F77">
      <w:pPr>
        <w:numPr>
          <w:ilvl w:val="0"/>
          <w:numId w:val="6"/>
        </w:numPr>
        <w:spacing w:after="0" w:line="240" w:lineRule="auto"/>
        <w:jc w:val="both"/>
        <w:rPr>
          <w:rFonts w:ascii="Times New Roman" w:hAnsi="Times New Roman" w:cs="Times New Roman"/>
        </w:rPr>
      </w:pPr>
      <w:r>
        <w:rPr>
          <w:rFonts w:ascii="Times New Roman" w:hAnsi="Times New Roman" w:cs="Times New Roman"/>
        </w:rPr>
        <w:t>Merumuskan hipotesis</w:t>
      </w:r>
    </w:p>
    <w:p w:rsidR="003E6D75" w:rsidRDefault="00066F77">
      <w:pPr>
        <w:spacing w:after="0" w:line="240" w:lineRule="auto"/>
        <w:ind w:leftChars="327" w:left="879" w:hanging="160"/>
        <w:jc w:val="both"/>
        <w:rPr>
          <w:rFonts w:ascii="Times New Roman" w:hAnsi="Times New Roman" w:cs="Times New Roman"/>
        </w:rPr>
      </w:pPr>
      <w:r>
        <w:rPr>
          <w:rFonts w:ascii="Times New Roman" w:hAnsi="Times New Roman" w:cs="Times New Roman"/>
        </w:rPr>
        <w:t xml:space="preserve">Ho: </w:t>
      </w:r>
      <w:r>
        <w:rPr>
          <w:rFonts w:ascii="Times New Roman" w:hAnsi="Times New Roman" w:cs="Times New Roman"/>
          <w:i/>
          <w:iCs/>
        </w:rPr>
        <w:t xml:space="preserve">Capital Adequacy Ratio </w:t>
      </w:r>
      <w:r>
        <w:rPr>
          <w:rFonts w:ascii="Times New Roman" w:hAnsi="Times New Roman" w:cs="Times New Roman"/>
        </w:rPr>
        <w:t xml:space="preserve">(CAR) (X1) secara parsial tidak berpengaruh terhadap </w:t>
      </w:r>
      <w:r>
        <w:rPr>
          <w:rFonts w:ascii="Times New Roman" w:hAnsi="Times New Roman" w:cs="Times New Roman"/>
          <w:i/>
          <w:iCs/>
        </w:rPr>
        <w:t xml:space="preserve">Return On Asset </w:t>
      </w:r>
      <w:r>
        <w:rPr>
          <w:rFonts w:ascii="Times New Roman" w:hAnsi="Times New Roman" w:cs="Times New Roman"/>
        </w:rPr>
        <w:t>(ROA) pada Bank BNI Syariah periode 2012-2016.</w:t>
      </w:r>
    </w:p>
    <w:p w:rsidR="003E6D75" w:rsidRDefault="00066F77">
      <w:pPr>
        <w:spacing w:after="0" w:line="240" w:lineRule="auto"/>
        <w:ind w:leftChars="327" w:left="879" w:hanging="160"/>
        <w:jc w:val="both"/>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w:r>
        <w:rPr>
          <w:rFonts w:ascii="Times New Roman" w:hAnsi="Times New Roman" w:cs="Times New Roman"/>
          <w:i/>
          <w:iCs/>
        </w:rPr>
        <w:t xml:space="preserve">Capital Adequacy Ratio </w:t>
      </w:r>
      <w:r>
        <w:rPr>
          <w:rFonts w:ascii="Times New Roman" w:hAnsi="Times New Roman" w:cs="Times New Roman"/>
        </w:rPr>
        <w:t xml:space="preserve">(CAR) (X1) secara parsial berpengaruh terhadap </w:t>
      </w:r>
      <w:r>
        <w:rPr>
          <w:rFonts w:ascii="Times New Roman" w:hAnsi="Times New Roman" w:cs="Times New Roman"/>
          <w:i/>
          <w:iCs/>
        </w:rPr>
        <w:t xml:space="preserve">Return On Asset </w:t>
      </w:r>
      <w:r>
        <w:rPr>
          <w:rFonts w:ascii="Times New Roman" w:hAnsi="Times New Roman" w:cs="Times New Roman"/>
        </w:rPr>
        <w:t>(ROA) pada Bank BNI Syariah</w:t>
      </w:r>
      <w:r>
        <w:rPr>
          <w:rFonts w:ascii="Times New Roman" w:hAnsi="Times New Roman" w:cs="Times New Roman"/>
        </w:rPr>
        <w:t xml:space="preserve"> periode 2012-2016.</w:t>
      </w:r>
    </w:p>
    <w:p w:rsidR="003E6D75" w:rsidRDefault="00066F77">
      <w:pPr>
        <w:spacing w:after="0" w:line="240" w:lineRule="auto"/>
        <w:jc w:val="both"/>
        <w:rPr>
          <w:rFonts w:ascii="Times New Roman" w:hAnsi="Times New Roman" w:cs="Times New Roman"/>
          <w:vertAlign w:val="subscript"/>
        </w:rPr>
      </w:pPr>
      <w:r>
        <w:rPr>
          <w:rFonts w:ascii="Times New Roman" w:hAnsi="Times New Roman" w:cs="Times New Roman"/>
        </w:rPr>
        <w:t xml:space="preserve">b. Menentukan t </w:t>
      </w:r>
      <w:r>
        <w:rPr>
          <w:rFonts w:ascii="Times New Roman" w:hAnsi="Times New Roman" w:cs="Times New Roman"/>
          <w:vertAlign w:val="subscript"/>
        </w:rPr>
        <w:t>hitung.</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Dari output di dapat t hitung sebesar -2,994 dan signifikansi 0,008.</w:t>
      </w:r>
    </w:p>
    <w:p w:rsidR="003E6D75" w:rsidRDefault="00066F77">
      <w:pPr>
        <w:spacing w:after="0" w:line="240" w:lineRule="auto"/>
        <w:jc w:val="both"/>
        <w:rPr>
          <w:rFonts w:ascii="Times New Roman" w:hAnsi="Times New Roman" w:cs="Times New Roman"/>
        </w:rPr>
      </w:pPr>
      <w:r>
        <w:rPr>
          <w:rFonts w:ascii="Times New Roman" w:hAnsi="Times New Roman" w:cs="Times New Roman"/>
        </w:rPr>
        <w:t>c. Menentukan t tabel</w:t>
      </w:r>
    </w:p>
    <w:p w:rsidR="003E6D75" w:rsidRDefault="00066F77">
      <w:pPr>
        <w:spacing w:after="0" w:line="240" w:lineRule="auto"/>
        <w:ind w:leftChars="99" w:left="218" w:firstLine="2"/>
        <w:jc w:val="both"/>
        <w:rPr>
          <w:rFonts w:ascii="Times New Roman" w:hAnsi="Times New Roman" w:cs="Times New Roman"/>
        </w:rPr>
      </w:pPr>
      <w:r>
        <w:rPr>
          <w:rFonts w:ascii="Times New Roman" w:hAnsi="Times New Roman" w:cs="Times New Roman"/>
        </w:rPr>
        <w:t xml:space="preserve">T tabel dapat dilihat pada tabel statistik pada signifikansi 0,05/2=0,025 dangan derajat kebebasan df = n - k -1 atau 20 </w:t>
      </w:r>
      <w:r>
        <w:rPr>
          <w:rFonts w:ascii="Times New Roman" w:hAnsi="Times New Roman" w:cs="Times New Roman"/>
        </w:rPr>
        <w:t>- (3-1) = 17, hasil diperoleh untuk t tabel sebesar 2,10 (dari lampiran tabel t)</w:t>
      </w:r>
    </w:p>
    <w:p w:rsidR="003E6D75" w:rsidRDefault="00066F77">
      <w:pPr>
        <w:spacing w:after="0" w:line="240" w:lineRule="auto"/>
        <w:jc w:val="both"/>
        <w:rPr>
          <w:rFonts w:ascii="Times New Roman" w:hAnsi="Times New Roman" w:cs="Times New Roman"/>
        </w:rPr>
      </w:pPr>
      <w:r>
        <w:rPr>
          <w:rFonts w:ascii="Times New Roman" w:hAnsi="Times New Roman" w:cs="Times New Roman"/>
        </w:rPr>
        <w:t>d. Kriteria pengujian</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t</w:t>
      </w:r>
      <w:r>
        <w:rPr>
          <w:rFonts w:ascii="Times New Roman" w:hAnsi="Times New Roman" w:cs="Times New Roman"/>
          <w:vertAlign w:val="subscript"/>
        </w:rPr>
        <w:t xml:space="preserve">hitung </w:t>
      </w:r>
      <w:r>
        <w:rPr>
          <w:rFonts w:ascii="Times New Roman" w:hAnsi="Times New Roman" w:cs="Times New Roman"/>
        </w:rPr>
        <w:t xml:space="preserve"> ≤ t</w:t>
      </w:r>
      <w:r>
        <w:rPr>
          <w:rFonts w:ascii="Times New Roman" w:hAnsi="Times New Roman" w:cs="Times New Roman"/>
          <w:vertAlign w:val="subscript"/>
        </w:rPr>
        <w:t xml:space="preserve">tabel  </w:t>
      </w:r>
      <w:r>
        <w:rPr>
          <w:rFonts w:ascii="Times New Roman" w:hAnsi="Times New Roman" w:cs="Times New Roman"/>
        </w:rPr>
        <w:t>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t</w:t>
      </w:r>
      <w:r>
        <w:rPr>
          <w:rFonts w:ascii="Times New Roman" w:hAnsi="Times New Roman" w:cs="Times New Roman"/>
          <w:vertAlign w:val="subscript"/>
        </w:rPr>
        <w:t xml:space="preserve">hitung </w:t>
      </w:r>
      <w:r>
        <w:rPr>
          <w:rFonts w:ascii="Times New Roman" w:hAnsi="Times New Roman" w:cs="Times New Roman"/>
        </w:rPr>
        <w:t xml:space="preserve"> ≥ t</w:t>
      </w:r>
      <w:r>
        <w:rPr>
          <w:rFonts w:ascii="Times New Roman" w:hAnsi="Times New Roman" w:cs="Times New Roman"/>
          <w:vertAlign w:val="subscript"/>
        </w:rPr>
        <w:t xml:space="preserve">tabel  </w:t>
      </w:r>
      <w:r>
        <w:rPr>
          <w:rFonts w:ascii="Times New Roman" w:hAnsi="Times New Roman" w:cs="Times New Roman"/>
        </w:rPr>
        <w:t>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spacing w:after="0" w:line="240" w:lineRule="auto"/>
        <w:jc w:val="both"/>
        <w:rPr>
          <w:rFonts w:ascii="Times New Roman" w:hAnsi="Times New Roman" w:cs="Times New Roman"/>
        </w:rPr>
      </w:pPr>
      <w:r>
        <w:rPr>
          <w:rFonts w:ascii="Times New Roman" w:hAnsi="Times New Roman" w:cs="Times New Roman"/>
        </w:rPr>
        <w:t>Berdasarkan signifikansi:</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signifikan</w:t>
      </w:r>
      <w:r>
        <w:rPr>
          <w:rFonts w:ascii="Times New Roman" w:hAnsi="Times New Roman" w:cs="Times New Roman"/>
        </w:rPr>
        <w:t>si &gt;0,05 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signifikansi &lt;0,05 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spacing w:after="0" w:line="240" w:lineRule="auto"/>
        <w:jc w:val="both"/>
        <w:rPr>
          <w:rFonts w:ascii="Times New Roman" w:hAnsi="Times New Roman" w:cs="Times New Roman"/>
        </w:rPr>
      </w:pPr>
      <w:r>
        <w:rPr>
          <w:rFonts w:ascii="Times New Roman" w:hAnsi="Times New Roman" w:cs="Times New Roman"/>
        </w:rPr>
        <w:t>e. Membuat kesimpulan</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Nilai t-hitung -2,994 dengan signifikansi 0,008 kurang dari 0,05 maka Ha diterima Ho ditolak. Jadi dapat disimpulkan bahwa secara parsial</w:t>
      </w:r>
      <w:r>
        <w:rPr>
          <w:rFonts w:ascii="Times New Roman" w:hAnsi="Times New Roman" w:cs="Times New Roman"/>
        </w:rPr>
        <w:t xml:space="preserve"> H</w:t>
      </w:r>
      <w:r>
        <w:rPr>
          <w:rFonts w:ascii="Times New Roman" w:hAnsi="Times New Roman" w:cs="Times New Roman"/>
          <w:vertAlign w:val="subscript"/>
        </w:rPr>
        <w:t>1</w:t>
      </w:r>
      <w:r>
        <w:rPr>
          <w:rFonts w:ascii="Times New Roman" w:hAnsi="Times New Roman" w:cs="Times New Roman"/>
        </w:rPr>
        <w:t xml:space="preserve"> diterima, Jadi dapat ditarik kesimpulan bahwa secara parsial </w:t>
      </w:r>
      <w:r>
        <w:rPr>
          <w:rFonts w:ascii="Times New Roman" w:hAnsi="Times New Roman" w:cs="Times New Roman"/>
          <w:i/>
          <w:iCs/>
        </w:rPr>
        <w:t xml:space="preserve">Capital Adequacy Ratio </w:t>
      </w:r>
      <w:r>
        <w:rPr>
          <w:rFonts w:ascii="Times New Roman" w:hAnsi="Times New Roman" w:cs="Times New Roman"/>
        </w:rPr>
        <w:t xml:space="preserve">(CAR) pada periode tahun 2012-2016 berpengaruh signifikan terhadap </w:t>
      </w:r>
      <w:r>
        <w:rPr>
          <w:rFonts w:ascii="Times New Roman" w:hAnsi="Times New Roman" w:cs="Times New Roman"/>
          <w:i/>
          <w:iCs/>
        </w:rPr>
        <w:t xml:space="preserve">Return On Asset </w:t>
      </w:r>
      <w:r>
        <w:rPr>
          <w:rFonts w:ascii="Times New Roman" w:hAnsi="Times New Roman" w:cs="Times New Roman"/>
        </w:rPr>
        <w:t>(ROA), hasil tersebut didukung oleh penelitian dari Erika Amelia (2015) yang menunjuk</w:t>
      </w:r>
      <w:r>
        <w:rPr>
          <w:rFonts w:ascii="Times New Roman" w:hAnsi="Times New Roman" w:cs="Times New Roman"/>
        </w:rPr>
        <w:t xml:space="preserve">kan bahwa </w:t>
      </w:r>
      <w:r>
        <w:rPr>
          <w:rFonts w:ascii="Times New Roman" w:hAnsi="Times New Roman" w:cs="Times New Roman"/>
          <w:i/>
          <w:iCs/>
        </w:rPr>
        <w:t xml:space="preserve">Capital Adequacy Ratio </w:t>
      </w:r>
      <w:r>
        <w:rPr>
          <w:rFonts w:ascii="Times New Roman" w:hAnsi="Times New Roman" w:cs="Times New Roman"/>
        </w:rPr>
        <w:t xml:space="preserve">(CAR) berpengaruh terhadap </w:t>
      </w:r>
      <w:r>
        <w:rPr>
          <w:rFonts w:ascii="Times New Roman" w:hAnsi="Times New Roman" w:cs="Times New Roman"/>
          <w:i/>
          <w:iCs/>
        </w:rPr>
        <w:t xml:space="preserve">Return On Asset </w:t>
      </w:r>
      <w:r>
        <w:rPr>
          <w:rFonts w:ascii="Times New Roman" w:hAnsi="Times New Roman" w:cs="Times New Roman"/>
        </w:rPr>
        <w:t xml:space="preserve">(ROA). </w:t>
      </w:r>
    </w:p>
    <w:p w:rsidR="003E6D75" w:rsidRDefault="00066F77">
      <w:pPr>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Pengujian koefisien variabel </w:t>
      </w:r>
      <w:r>
        <w:rPr>
          <w:rFonts w:ascii="Times New Roman" w:hAnsi="Times New Roman" w:cs="Times New Roman"/>
          <w:i/>
          <w:iCs/>
        </w:rPr>
        <w:t xml:space="preserve">Financing to Deposit Ratio </w:t>
      </w:r>
      <w:r>
        <w:rPr>
          <w:rFonts w:ascii="Times New Roman" w:hAnsi="Times New Roman" w:cs="Times New Roman"/>
        </w:rPr>
        <w:t>(FDR) (X2)</w:t>
      </w:r>
    </w:p>
    <w:p w:rsidR="003E6D75" w:rsidRDefault="00066F77">
      <w:pPr>
        <w:numPr>
          <w:ilvl w:val="0"/>
          <w:numId w:val="8"/>
        </w:numPr>
        <w:spacing w:after="0" w:line="240" w:lineRule="auto"/>
        <w:jc w:val="both"/>
        <w:rPr>
          <w:rFonts w:ascii="Times New Roman" w:hAnsi="Times New Roman" w:cs="Times New Roman"/>
        </w:rPr>
      </w:pPr>
      <w:r>
        <w:rPr>
          <w:rFonts w:ascii="Times New Roman" w:hAnsi="Times New Roman" w:cs="Times New Roman"/>
        </w:rPr>
        <w:t>Merumuskan hipotesis</w:t>
      </w:r>
    </w:p>
    <w:p w:rsidR="003E6D75" w:rsidRDefault="00066F77">
      <w:pPr>
        <w:spacing w:after="0" w:line="240" w:lineRule="auto"/>
        <w:ind w:leftChars="327" w:left="879" w:hanging="160"/>
        <w:jc w:val="both"/>
        <w:rPr>
          <w:rFonts w:ascii="Times New Roman" w:hAnsi="Times New Roman" w:cs="Times New Roman"/>
        </w:rPr>
      </w:pPr>
      <w:r>
        <w:rPr>
          <w:rFonts w:ascii="Times New Roman" w:hAnsi="Times New Roman" w:cs="Times New Roman"/>
        </w:rPr>
        <w:t xml:space="preserve">Ho: </w:t>
      </w:r>
      <w:r>
        <w:rPr>
          <w:rFonts w:ascii="Times New Roman" w:hAnsi="Times New Roman" w:cs="Times New Roman"/>
          <w:i/>
          <w:iCs/>
        </w:rPr>
        <w:t xml:space="preserve">Financing to Deposit Ratio </w:t>
      </w:r>
      <w:r>
        <w:rPr>
          <w:rFonts w:ascii="Times New Roman" w:hAnsi="Times New Roman" w:cs="Times New Roman"/>
        </w:rPr>
        <w:t xml:space="preserve">(FDR) (X2) secara parsial tidak berpengaruh terhadap </w:t>
      </w:r>
      <w:r>
        <w:rPr>
          <w:rFonts w:ascii="Times New Roman" w:hAnsi="Times New Roman" w:cs="Times New Roman"/>
          <w:i/>
          <w:iCs/>
        </w:rPr>
        <w:t xml:space="preserve">Return On Asset </w:t>
      </w:r>
      <w:r>
        <w:rPr>
          <w:rFonts w:ascii="Times New Roman" w:hAnsi="Times New Roman" w:cs="Times New Roman"/>
        </w:rPr>
        <w:t>(ROA) pada Bank BNI Syariah periode 2012-2016.</w:t>
      </w:r>
    </w:p>
    <w:p w:rsidR="003E6D75" w:rsidRDefault="00066F77">
      <w:pPr>
        <w:spacing w:after="0" w:line="240" w:lineRule="auto"/>
        <w:ind w:leftChars="327" w:left="879" w:hanging="160"/>
        <w:jc w:val="both"/>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w:r>
        <w:rPr>
          <w:rFonts w:ascii="Times New Roman" w:hAnsi="Times New Roman" w:cs="Times New Roman"/>
          <w:i/>
          <w:iCs/>
        </w:rPr>
        <w:t xml:space="preserve">Financing to Deposti Ratio </w:t>
      </w:r>
      <w:r>
        <w:rPr>
          <w:rFonts w:ascii="Times New Roman" w:hAnsi="Times New Roman" w:cs="Times New Roman"/>
        </w:rPr>
        <w:t xml:space="preserve">(FDR) (X2) secara parsial berpengaruh terhadap </w:t>
      </w:r>
      <w:r>
        <w:rPr>
          <w:rFonts w:ascii="Times New Roman" w:hAnsi="Times New Roman" w:cs="Times New Roman"/>
          <w:i/>
          <w:iCs/>
        </w:rPr>
        <w:t xml:space="preserve">Return On Asset </w:t>
      </w:r>
      <w:r>
        <w:rPr>
          <w:rFonts w:ascii="Times New Roman" w:hAnsi="Times New Roman" w:cs="Times New Roman"/>
        </w:rPr>
        <w:t>(ROA) pada Bank BNI Syariah periode 2012-2016.</w:t>
      </w:r>
    </w:p>
    <w:p w:rsidR="003E6D75" w:rsidRDefault="00066F77">
      <w:pPr>
        <w:spacing w:after="0" w:line="240" w:lineRule="auto"/>
        <w:jc w:val="both"/>
        <w:rPr>
          <w:rFonts w:ascii="Times New Roman" w:hAnsi="Times New Roman" w:cs="Times New Roman"/>
          <w:vertAlign w:val="subscript"/>
        </w:rPr>
      </w:pPr>
      <w:r>
        <w:rPr>
          <w:rFonts w:ascii="Times New Roman" w:hAnsi="Times New Roman" w:cs="Times New Roman"/>
        </w:rPr>
        <w:t>b. Menentukan t</w:t>
      </w:r>
      <w:r>
        <w:rPr>
          <w:rFonts w:ascii="Times New Roman" w:hAnsi="Times New Roman" w:cs="Times New Roman"/>
          <w:vertAlign w:val="subscript"/>
        </w:rPr>
        <w:t>hitung</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 xml:space="preserve">Dari output di dapat t hitung </w:t>
      </w:r>
      <w:r>
        <w:rPr>
          <w:rFonts w:ascii="Times New Roman" w:hAnsi="Times New Roman" w:cs="Times New Roman"/>
        </w:rPr>
        <w:t>sebesar 1,220 dan signifikansi 0,239.</w:t>
      </w:r>
    </w:p>
    <w:p w:rsidR="003E6D75" w:rsidRDefault="00066F77">
      <w:pPr>
        <w:spacing w:after="0" w:line="240" w:lineRule="auto"/>
        <w:jc w:val="both"/>
        <w:rPr>
          <w:rFonts w:ascii="Times New Roman" w:hAnsi="Times New Roman" w:cs="Times New Roman"/>
          <w:vertAlign w:val="subscript"/>
        </w:rPr>
      </w:pPr>
      <w:r>
        <w:rPr>
          <w:rFonts w:ascii="Times New Roman" w:hAnsi="Times New Roman" w:cs="Times New Roman"/>
        </w:rPr>
        <w:t>c. Menentukan t</w:t>
      </w:r>
      <w:r>
        <w:rPr>
          <w:rFonts w:ascii="Times New Roman" w:hAnsi="Times New Roman" w:cs="Times New Roman"/>
          <w:vertAlign w:val="subscript"/>
        </w:rPr>
        <w:t>tabel</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T</w:t>
      </w:r>
      <w:r>
        <w:rPr>
          <w:rFonts w:ascii="Times New Roman" w:hAnsi="Times New Roman" w:cs="Times New Roman"/>
          <w:vertAlign w:val="subscript"/>
        </w:rPr>
        <w:t xml:space="preserve">tabel </w:t>
      </w:r>
      <w:r>
        <w:rPr>
          <w:rFonts w:ascii="Times New Roman" w:hAnsi="Times New Roman" w:cs="Times New Roman"/>
        </w:rPr>
        <w:t>dapat dilihat pada tabel statistic pada signifikansi 0,05/2=0,25 dengan derajat kebebasan df = n-k-1 atau 20 - (3-1) = 17, hasil diperoleh untuk t</w:t>
      </w:r>
      <w:r>
        <w:rPr>
          <w:rFonts w:ascii="Times New Roman" w:hAnsi="Times New Roman" w:cs="Times New Roman"/>
          <w:vertAlign w:val="subscript"/>
        </w:rPr>
        <w:t xml:space="preserve">tabel </w:t>
      </w:r>
      <w:r>
        <w:rPr>
          <w:rFonts w:ascii="Times New Roman" w:hAnsi="Times New Roman" w:cs="Times New Roman"/>
        </w:rPr>
        <w:t>sebesar 2,10 (dilihat dari lampiran t</w:t>
      </w:r>
      <w:r>
        <w:rPr>
          <w:rFonts w:ascii="Times New Roman" w:hAnsi="Times New Roman" w:cs="Times New Roman"/>
          <w:vertAlign w:val="subscript"/>
        </w:rPr>
        <w:t>t</w:t>
      </w:r>
      <w:r>
        <w:rPr>
          <w:rFonts w:ascii="Times New Roman" w:hAnsi="Times New Roman" w:cs="Times New Roman"/>
          <w:vertAlign w:val="subscript"/>
        </w:rPr>
        <w:t>abel</w:t>
      </w:r>
      <w:r>
        <w:rPr>
          <w:rFonts w:ascii="Times New Roman" w:hAnsi="Times New Roman" w:cs="Times New Roman"/>
        </w:rPr>
        <w:t>)</w:t>
      </w:r>
    </w:p>
    <w:p w:rsidR="003E6D75" w:rsidRDefault="00066F77">
      <w:pPr>
        <w:spacing w:after="0" w:line="240" w:lineRule="auto"/>
        <w:jc w:val="both"/>
        <w:rPr>
          <w:rFonts w:ascii="Times New Roman" w:hAnsi="Times New Roman" w:cs="Times New Roman"/>
        </w:rPr>
      </w:pPr>
      <w:r>
        <w:rPr>
          <w:rFonts w:ascii="Times New Roman" w:hAnsi="Times New Roman" w:cs="Times New Roman"/>
        </w:rPr>
        <w:t>d. Kriteria pengujian</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t</w:t>
      </w:r>
      <w:r>
        <w:rPr>
          <w:rFonts w:ascii="Times New Roman" w:hAnsi="Times New Roman" w:cs="Times New Roman"/>
          <w:vertAlign w:val="subscript"/>
        </w:rPr>
        <w:t xml:space="preserve">hitung </w:t>
      </w:r>
      <w:r>
        <w:rPr>
          <w:rFonts w:ascii="Times New Roman" w:hAnsi="Times New Roman" w:cs="Times New Roman"/>
        </w:rPr>
        <w:t>≥ t</w:t>
      </w:r>
      <w:r>
        <w:rPr>
          <w:rFonts w:ascii="Times New Roman" w:hAnsi="Times New Roman" w:cs="Times New Roman"/>
          <w:vertAlign w:val="subscript"/>
        </w:rPr>
        <w:t xml:space="preserve">tabel </w:t>
      </w:r>
      <w:r>
        <w:rPr>
          <w:rFonts w:ascii="Times New Roman" w:hAnsi="Times New Roman" w:cs="Times New Roman"/>
        </w:rPr>
        <w:t>dan -t</w:t>
      </w:r>
      <w:r>
        <w:rPr>
          <w:rFonts w:ascii="Times New Roman" w:hAnsi="Times New Roman" w:cs="Times New Roman"/>
          <w:vertAlign w:val="subscript"/>
        </w:rPr>
        <w:t xml:space="preserve">hitung </w:t>
      </w:r>
      <w:r>
        <w:rPr>
          <w:rFonts w:ascii="Times New Roman" w:hAnsi="Times New Roman" w:cs="Times New Roman"/>
        </w:rPr>
        <w:t>≤ -t</w:t>
      </w:r>
      <w:r>
        <w:rPr>
          <w:rFonts w:ascii="Times New Roman" w:hAnsi="Times New Roman" w:cs="Times New Roman"/>
          <w:vertAlign w:val="subscript"/>
        </w:rPr>
        <w:t xml:space="preserve">tabel </w:t>
      </w:r>
      <w:r>
        <w:rPr>
          <w:rFonts w:ascii="Times New Roman" w:hAnsi="Times New Roman" w:cs="Times New Roman"/>
        </w:rPr>
        <w:t>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t</w:t>
      </w:r>
      <w:r>
        <w:rPr>
          <w:rFonts w:ascii="Times New Roman" w:hAnsi="Times New Roman" w:cs="Times New Roman"/>
          <w:vertAlign w:val="subscript"/>
        </w:rPr>
        <w:t xml:space="preserve">hitung </w:t>
      </w:r>
      <w:r>
        <w:rPr>
          <w:rFonts w:ascii="Times New Roman" w:hAnsi="Times New Roman" w:cs="Times New Roman"/>
        </w:rPr>
        <w:t>≤ t</w:t>
      </w:r>
      <w:r>
        <w:rPr>
          <w:rFonts w:ascii="Times New Roman" w:hAnsi="Times New Roman" w:cs="Times New Roman"/>
          <w:vertAlign w:val="subscript"/>
        </w:rPr>
        <w:t xml:space="preserve">tabel </w:t>
      </w:r>
      <w:r>
        <w:rPr>
          <w:rFonts w:ascii="Times New Roman" w:hAnsi="Times New Roman" w:cs="Times New Roman"/>
        </w:rPr>
        <w:t>dan -t</w:t>
      </w:r>
      <w:r>
        <w:rPr>
          <w:rFonts w:ascii="Times New Roman" w:hAnsi="Times New Roman" w:cs="Times New Roman"/>
          <w:vertAlign w:val="subscript"/>
        </w:rPr>
        <w:t xml:space="preserve">hitung </w:t>
      </w:r>
      <w:r>
        <w:rPr>
          <w:rFonts w:ascii="Times New Roman" w:hAnsi="Times New Roman" w:cs="Times New Roman"/>
        </w:rPr>
        <w:t>≥ -t</w:t>
      </w:r>
      <w:r>
        <w:rPr>
          <w:rFonts w:ascii="Times New Roman" w:hAnsi="Times New Roman" w:cs="Times New Roman"/>
          <w:vertAlign w:val="subscript"/>
        </w:rPr>
        <w:t xml:space="preserve">tabel </w:t>
      </w:r>
      <w:r>
        <w:rPr>
          <w:rFonts w:ascii="Times New Roman" w:hAnsi="Times New Roman" w:cs="Times New Roman"/>
        </w:rPr>
        <w:t>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Berdasarkan signifikansi:</w:t>
      </w:r>
    </w:p>
    <w:p w:rsidR="003E6D75" w:rsidRDefault="00066F77">
      <w:pPr>
        <w:spacing w:after="0" w:line="240" w:lineRule="auto"/>
        <w:ind w:leftChars="99" w:left="218" w:firstLine="2"/>
        <w:jc w:val="both"/>
        <w:rPr>
          <w:rFonts w:ascii="Times New Roman" w:hAnsi="Times New Roman" w:cs="Times New Roman"/>
        </w:rPr>
      </w:pPr>
      <w:r>
        <w:rPr>
          <w:rFonts w:ascii="Times New Roman" w:hAnsi="Times New Roman" w:cs="Times New Roman"/>
        </w:rPr>
        <w:t>Jika signifikansi &gt;0,05 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t>Jika signifikansi &lt;0,05 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spacing w:after="0" w:line="240" w:lineRule="auto"/>
        <w:jc w:val="both"/>
        <w:rPr>
          <w:rFonts w:ascii="Times New Roman" w:hAnsi="Times New Roman" w:cs="Times New Roman"/>
        </w:rPr>
      </w:pPr>
      <w:r>
        <w:rPr>
          <w:rFonts w:ascii="Times New Roman" w:hAnsi="Times New Roman" w:cs="Times New Roman"/>
        </w:rPr>
        <w:t xml:space="preserve">e. Membuat kesimpulan </w:t>
      </w:r>
    </w:p>
    <w:p w:rsidR="003E6D75" w:rsidRDefault="00066F77">
      <w:pPr>
        <w:spacing w:after="0" w:line="240" w:lineRule="auto"/>
        <w:ind w:leftChars="100" w:left="220"/>
        <w:jc w:val="both"/>
        <w:rPr>
          <w:rFonts w:ascii="Times New Roman" w:hAnsi="Times New Roman" w:cs="Times New Roman"/>
        </w:rPr>
      </w:pPr>
      <w:r>
        <w:rPr>
          <w:rFonts w:ascii="Times New Roman" w:hAnsi="Times New Roman" w:cs="Times New Roman"/>
        </w:rPr>
        <w:lastRenderedPageBreak/>
        <w:t>Nilai t</w:t>
      </w:r>
      <w:r>
        <w:rPr>
          <w:rFonts w:ascii="Times New Roman" w:hAnsi="Times New Roman" w:cs="Times New Roman"/>
          <w:vertAlign w:val="subscript"/>
        </w:rPr>
        <w:t xml:space="preserve">hitung </w:t>
      </w:r>
      <w:r>
        <w:rPr>
          <w:rFonts w:ascii="Times New Roman" w:hAnsi="Times New Roman" w:cs="Times New Roman"/>
        </w:rPr>
        <w:t>≤ t</w:t>
      </w:r>
      <w:r>
        <w:rPr>
          <w:rFonts w:ascii="Times New Roman" w:hAnsi="Times New Roman" w:cs="Times New Roman"/>
          <w:vertAlign w:val="subscript"/>
        </w:rPr>
        <w:t xml:space="preserve">tabel </w:t>
      </w:r>
      <w:r>
        <w:rPr>
          <w:rFonts w:ascii="Times New Roman" w:hAnsi="Times New Roman" w:cs="Times New Roman"/>
        </w:rPr>
        <w:t>(1,220 ≥ -2,10) dengan signifikansi 0,239 lebih dari 0,05 maka Ho diterima dan H</w:t>
      </w:r>
      <w:r>
        <w:rPr>
          <w:rFonts w:ascii="Times New Roman" w:hAnsi="Times New Roman" w:cs="Times New Roman"/>
          <w:vertAlign w:val="subscript"/>
        </w:rPr>
        <w:t>1</w:t>
      </w:r>
      <w:r>
        <w:rPr>
          <w:rFonts w:ascii="Times New Roman" w:hAnsi="Times New Roman" w:cs="Times New Roman"/>
        </w:rPr>
        <w:t xml:space="preserve"> ditolak. Jadi dapat ditarik kesimpulan bahwa secara parsial </w:t>
      </w:r>
      <w:r>
        <w:rPr>
          <w:rFonts w:ascii="Times New Roman" w:hAnsi="Times New Roman" w:cs="Times New Roman"/>
          <w:i/>
          <w:iCs/>
        </w:rPr>
        <w:t>Fina</w:t>
      </w:r>
      <w:r>
        <w:rPr>
          <w:rFonts w:ascii="Times New Roman" w:hAnsi="Times New Roman" w:cs="Times New Roman"/>
          <w:i/>
          <w:iCs/>
        </w:rPr>
        <w:t xml:space="preserve">ncing to Deposit Ratio </w:t>
      </w:r>
      <w:r>
        <w:rPr>
          <w:rFonts w:ascii="Times New Roman" w:hAnsi="Times New Roman" w:cs="Times New Roman"/>
        </w:rPr>
        <w:t xml:space="preserve">(FDR) (X2) periode tahun 2012-2016 tidak berpengaruh terhadap </w:t>
      </w:r>
      <w:r>
        <w:rPr>
          <w:rFonts w:ascii="Times New Roman" w:hAnsi="Times New Roman" w:cs="Times New Roman"/>
          <w:i/>
          <w:iCs/>
        </w:rPr>
        <w:t xml:space="preserve">Return On Asset </w:t>
      </w:r>
      <w:r>
        <w:rPr>
          <w:rFonts w:ascii="Times New Roman" w:hAnsi="Times New Roman" w:cs="Times New Roman"/>
        </w:rPr>
        <w:t xml:space="preserve">(ROA), hasil penelitian ini didukung oleh penelitian Slamet Riyadi dan Agung Yulianto (2014) yang menunjukkan bahwa </w:t>
      </w:r>
      <w:r>
        <w:rPr>
          <w:rFonts w:ascii="Times New Roman" w:hAnsi="Times New Roman" w:cs="Times New Roman"/>
          <w:i/>
          <w:iCs/>
        </w:rPr>
        <w:t xml:space="preserve">Financing to Deposit Ratio </w:t>
      </w:r>
      <w:r>
        <w:rPr>
          <w:rFonts w:ascii="Times New Roman" w:hAnsi="Times New Roman" w:cs="Times New Roman"/>
        </w:rPr>
        <w:t>(FDR) secara</w:t>
      </w:r>
      <w:r>
        <w:rPr>
          <w:rFonts w:ascii="Times New Roman" w:hAnsi="Times New Roman" w:cs="Times New Roman"/>
        </w:rPr>
        <w:t xml:space="preserve"> parsial berpengaruh negatif terhadap </w:t>
      </w:r>
      <w:r>
        <w:rPr>
          <w:rFonts w:ascii="Times New Roman" w:hAnsi="Times New Roman" w:cs="Times New Roman"/>
          <w:i/>
          <w:iCs/>
        </w:rPr>
        <w:t xml:space="preserve">Return On Asset </w:t>
      </w:r>
      <w:r>
        <w:rPr>
          <w:rFonts w:ascii="Times New Roman" w:hAnsi="Times New Roman" w:cs="Times New Roman"/>
        </w:rPr>
        <w:t xml:space="preserve">(ROA) karena pada periode tahun 2012-2016 </w:t>
      </w:r>
      <w:r>
        <w:rPr>
          <w:rFonts w:ascii="Times New Roman" w:hAnsi="Times New Roman" w:cs="Times New Roman"/>
          <w:i/>
          <w:iCs/>
        </w:rPr>
        <w:t xml:space="preserve">Financing to Deposit Ratio </w:t>
      </w:r>
      <w:r>
        <w:rPr>
          <w:rFonts w:ascii="Times New Roman" w:hAnsi="Times New Roman" w:cs="Times New Roman"/>
        </w:rPr>
        <w:t xml:space="preserve">(FDR) mengalami kenaikan dan </w:t>
      </w:r>
      <w:r>
        <w:rPr>
          <w:rFonts w:ascii="Times New Roman" w:hAnsi="Times New Roman" w:cs="Times New Roman"/>
          <w:i/>
          <w:iCs/>
        </w:rPr>
        <w:t xml:space="preserve">Return On Asset </w:t>
      </w:r>
      <w:r>
        <w:rPr>
          <w:rFonts w:ascii="Times New Roman" w:hAnsi="Times New Roman" w:cs="Times New Roman"/>
        </w:rPr>
        <w:t>(ROA) sebagai variabel dependen juga tidak ikut mengalami kenaikan.</w:t>
      </w:r>
    </w:p>
    <w:p w:rsidR="003E6D75" w:rsidRDefault="00066F77">
      <w:pPr>
        <w:spacing w:after="0" w:line="240" w:lineRule="auto"/>
        <w:jc w:val="both"/>
        <w:rPr>
          <w:rFonts w:ascii="Times New Roman" w:hAnsi="Times New Roman" w:cs="Times New Roman"/>
          <w:b/>
          <w:bCs/>
        </w:rPr>
      </w:pPr>
      <w:r>
        <w:rPr>
          <w:rFonts w:ascii="Times New Roman" w:hAnsi="Times New Roman" w:cs="Times New Roman"/>
          <w:b/>
          <w:bCs/>
        </w:rPr>
        <w:t>Uji Simultan (Uji F)</w:t>
      </w:r>
    </w:p>
    <w:p w:rsidR="003E6D75" w:rsidRDefault="00066F77">
      <w:pPr>
        <w:spacing w:after="0" w:line="240" w:lineRule="auto"/>
        <w:ind w:firstLine="720"/>
        <w:jc w:val="center"/>
        <w:rPr>
          <w:rFonts w:ascii="Times New Roman" w:hAnsi="Times New Roman" w:cs="Times New Roman"/>
          <w:b/>
          <w:bCs/>
        </w:rPr>
      </w:pPr>
      <w:r>
        <w:rPr>
          <w:rFonts w:ascii="Times New Roman" w:hAnsi="Times New Roman" w:cs="Times New Roman"/>
          <w:b/>
          <w:bCs/>
        </w:rPr>
        <w:t>Tabel 4.1</w:t>
      </w:r>
      <w:r>
        <w:rPr>
          <w:rFonts w:ascii="Times New Roman" w:hAnsi="Times New Roman" w:cs="Times New Roman"/>
          <w:b/>
          <w:bCs/>
        </w:rPr>
        <w:t>1</w:t>
      </w:r>
    </w:p>
    <w:p w:rsidR="003E6D75" w:rsidRDefault="00066F77">
      <w:pPr>
        <w:spacing w:after="0" w:line="240" w:lineRule="auto"/>
        <w:ind w:firstLine="720"/>
        <w:jc w:val="center"/>
        <w:rPr>
          <w:rFonts w:ascii="Times New Roman" w:hAnsi="Times New Roman" w:cs="Times New Roman"/>
          <w:b/>
          <w:bCs/>
        </w:rPr>
      </w:pPr>
      <w:r>
        <w:rPr>
          <w:rFonts w:ascii="Times New Roman" w:hAnsi="Times New Roman" w:cs="Times New Roman"/>
          <w:b/>
          <w:bCs/>
        </w:rPr>
        <w:t>Uji Simultan</w:t>
      </w:r>
    </w:p>
    <w:tbl>
      <w:tblPr>
        <w:tblW w:w="7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3"/>
        <w:gridCol w:w="1284"/>
        <w:gridCol w:w="1469"/>
        <w:gridCol w:w="1025"/>
        <w:gridCol w:w="1408"/>
        <w:gridCol w:w="1025"/>
        <w:gridCol w:w="1025"/>
      </w:tblGrid>
      <w:tr w:rsidR="003E6D75">
        <w:trPr>
          <w:cantSplit/>
        </w:trPr>
        <w:tc>
          <w:tcPr>
            <w:tcW w:w="7969" w:type="dxa"/>
            <w:gridSpan w:val="7"/>
            <w:shd w:val="clear" w:color="auto" w:fill="FFFFFF"/>
            <w:vAlign w:val="center"/>
          </w:tcPr>
          <w:p w:rsidR="003E6D75" w:rsidRDefault="00066F77">
            <w:pPr>
              <w:autoSpaceDE w:val="0"/>
              <w:autoSpaceDN w:val="0"/>
              <w:adjustRightInd w:val="0"/>
              <w:spacing w:after="0" w:line="240" w:lineRule="auto"/>
              <w:ind w:left="60" w:right="60"/>
              <w:jc w:val="center"/>
              <w:rPr>
                <w:rFonts w:ascii="Times New Roman" w:hAnsi="Times New Roman" w:cs="Times New Roman"/>
                <w:color w:val="010205"/>
                <w:lang w:val="en-US"/>
              </w:rPr>
            </w:pPr>
            <w:r>
              <w:rPr>
                <w:rFonts w:ascii="Times New Roman" w:hAnsi="Times New Roman" w:cs="Times New Roman"/>
                <w:b/>
                <w:bCs/>
                <w:color w:val="010205"/>
                <w:lang w:val="en-US"/>
              </w:rPr>
              <w:t>ANOVA</w:t>
            </w:r>
            <w:r>
              <w:rPr>
                <w:rFonts w:ascii="Times New Roman" w:hAnsi="Times New Roman" w:cs="Times New Roman"/>
                <w:b/>
                <w:bCs/>
                <w:color w:val="010205"/>
                <w:vertAlign w:val="superscript"/>
                <w:lang w:val="en-US"/>
              </w:rPr>
              <w:t>a</w:t>
            </w:r>
          </w:p>
        </w:tc>
      </w:tr>
      <w:tr w:rsidR="003E6D75">
        <w:trPr>
          <w:cantSplit/>
        </w:trPr>
        <w:tc>
          <w:tcPr>
            <w:tcW w:w="2017" w:type="dxa"/>
            <w:gridSpan w:val="2"/>
            <w:shd w:val="clear" w:color="auto" w:fill="FFFFFF"/>
            <w:vAlign w:val="bottom"/>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Model</w:t>
            </w:r>
          </w:p>
        </w:tc>
        <w:tc>
          <w:tcPr>
            <w:tcW w:w="1469"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Sum of Squares</w:t>
            </w:r>
          </w:p>
        </w:tc>
        <w:tc>
          <w:tcPr>
            <w:tcW w:w="1025"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df</w:t>
            </w:r>
          </w:p>
        </w:tc>
        <w:tc>
          <w:tcPr>
            <w:tcW w:w="1408"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Mean Square</w:t>
            </w:r>
          </w:p>
        </w:tc>
        <w:tc>
          <w:tcPr>
            <w:tcW w:w="1025"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F</w:t>
            </w:r>
          </w:p>
        </w:tc>
        <w:tc>
          <w:tcPr>
            <w:tcW w:w="1025" w:type="dxa"/>
            <w:shd w:val="clear" w:color="auto" w:fill="FFFFFF"/>
            <w:vAlign w:val="bottom"/>
          </w:tcPr>
          <w:p w:rsidR="003E6D75" w:rsidRDefault="00066F77">
            <w:pPr>
              <w:autoSpaceDE w:val="0"/>
              <w:autoSpaceDN w:val="0"/>
              <w:adjustRightInd w:val="0"/>
              <w:spacing w:after="0" w:line="240" w:lineRule="auto"/>
              <w:ind w:left="60" w:right="60"/>
              <w:jc w:val="center"/>
              <w:rPr>
                <w:rFonts w:ascii="Times New Roman" w:hAnsi="Times New Roman" w:cs="Times New Roman"/>
                <w:color w:val="264A60"/>
                <w:lang w:val="en-US"/>
              </w:rPr>
            </w:pPr>
            <w:r>
              <w:rPr>
                <w:rFonts w:ascii="Times New Roman" w:hAnsi="Times New Roman" w:cs="Times New Roman"/>
                <w:color w:val="264A60"/>
                <w:lang w:val="en-US"/>
              </w:rPr>
              <w:t>Sig.</w:t>
            </w:r>
          </w:p>
        </w:tc>
      </w:tr>
      <w:tr w:rsidR="003E6D75">
        <w:trPr>
          <w:cantSplit/>
        </w:trPr>
        <w:tc>
          <w:tcPr>
            <w:tcW w:w="733" w:type="dxa"/>
            <w:vMerge w:val="restart"/>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1</w:t>
            </w:r>
          </w:p>
        </w:tc>
        <w:tc>
          <w:tcPr>
            <w:tcW w:w="1284"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Regression</w:t>
            </w:r>
          </w:p>
        </w:tc>
        <w:tc>
          <w:tcPr>
            <w:tcW w:w="1469"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.089</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w:t>
            </w:r>
          </w:p>
        </w:tc>
        <w:tc>
          <w:tcPr>
            <w:tcW w:w="1408"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.044</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5.108</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.018</w:t>
            </w:r>
            <w:r>
              <w:rPr>
                <w:rFonts w:ascii="Times New Roman" w:hAnsi="Times New Roman" w:cs="Times New Roman"/>
                <w:color w:val="010205"/>
                <w:vertAlign w:val="superscript"/>
                <w:lang w:val="en-US"/>
              </w:rPr>
              <w:t>b</w:t>
            </w:r>
          </w:p>
        </w:tc>
      </w:tr>
      <w:tr w:rsidR="003E6D75">
        <w:trPr>
          <w:cantSplit/>
        </w:trPr>
        <w:tc>
          <w:tcPr>
            <w:tcW w:w="733" w:type="dxa"/>
            <w:vMerge/>
            <w:shd w:val="clear" w:color="auto" w:fill="E0E0E0"/>
          </w:tcPr>
          <w:p w:rsidR="003E6D75" w:rsidRDefault="003E6D75">
            <w:pPr>
              <w:autoSpaceDE w:val="0"/>
              <w:autoSpaceDN w:val="0"/>
              <w:adjustRightInd w:val="0"/>
              <w:spacing w:after="0" w:line="240" w:lineRule="auto"/>
              <w:rPr>
                <w:rFonts w:ascii="Times New Roman" w:hAnsi="Times New Roman" w:cs="Times New Roman"/>
                <w:color w:val="010205"/>
                <w:lang w:val="en-US"/>
              </w:rPr>
            </w:pPr>
          </w:p>
        </w:tc>
        <w:tc>
          <w:tcPr>
            <w:tcW w:w="1284"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Residual</w:t>
            </w:r>
          </w:p>
        </w:tc>
        <w:tc>
          <w:tcPr>
            <w:tcW w:w="1469"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.148</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17</w:t>
            </w:r>
          </w:p>
        </w:tc>
        <w:tc>
          <w:tcPr>
            <w:tcW w:w="1408"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.009</w:t>
            </w:r>
          </w:p>
        </w:tc>
        <w:tc>
          <w:tcPr>
            <w:tcW w:w="1025"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c>
          <w:tcPr>
            <w:tcW w:w="1025"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r>
      <w:tr w:rsidR="003E6D75">
        <w:trPr>
          <w:cantSplit/>
        </w:trPr>
        <w:tc>
          <w:tcPr>
            <w:tcW w:w="733" w:type="dxa"/>
            <w:vMerge/>
            <w:shd w:val="clear" w:color="auto" w:fill="E0E0E0"/>
          </w:tcPr>
          <w:p w:rsidR="003E6D75" w:rsidRDefault="003E6D75">
            <w:pPr>
              <w:autoSpaceDE w:val="0"/>
              <w:autoSpaceDN w:val="0"/>
              <w:adjustRightInd w:val="0"/>
              <w:spacing w:after="0" w:line="240" w:lineRule="auto"/>
              <w:rPr>
                <w:rFonts w:ascii="Times New Roman" w:hAnsi="Times New Roman" w:cs="Times New Roman"/>
                <w:lang w:val="en-US"/>
              </w:rPr>
            </w:pPr>
          </w:p>
        </w:tc>
        <w:tc>
          <w:tcPr>
            <w:tcW w:w="1284" w:type="dxa"/>
            <w:shd w:val="clear" w:color="auto" w:fill="E0E0E0"/>
          </w:tcPr>
          <w:p w:rsidR="003E6D75" w:rsidRDefault="00066F77">
            <w:pPr>
              <w:autoSpaceDE w:val="0"/>
              <w:autoSpaceDN w:val="0"/>
              <w:adjustRightInd w:val="0"/>
              <w:spacing w:after="0" w:line="240" w:lineRule="auto"/>
              <w:ind w:left="60" w:right="60"/>
              <w:rPr>
                <w:rFonts w:ascii="Times New Roman" w:hAnsi="Times New Roman" w:cs="Times New Roman"/>
                <w:color w:val="264A60"/>
                <w:lang w:val="en-US"/>
              </w:rPr>
            </w:pPr>
            <w:r>
              <w:rPr>
                <w:rFonts w:ascii="Times New Roman" w:hAnsi="Times New Roman" w:cs="Times New Roman"/>
                <w:color w:val="264A60"/>
                <w:lang w:val="en-US"/>
              </w:rPr>
              <w:t>Total</w:t>
            </w:r>
          </w:p>
        </w:tc>
        <w:tc>
          <w:tcPr>
            <w:tcW w:w="1469"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.236</w:t>
            </w:r>
          </w:p>
        </w:tc>
        <w:tc>
          <w:tcPr>
            <w:tcW w:w="1025" w:type="dxa"/>
            <w:shd w:val="clear" w:color="auto" w:fill="FFFFFF"/>
          </w:tcPr>
          <w:p w:rsidR="003E6D75" w:rsidRDefault="00066F77">
            <w:pPr>
              <w:autoSpaceDE w:val="0"/>
              <w:autoSpaceDN w:val="0"/>
              <w:adjustRightInd w:val="0"/>
              <w:spacing w:after="0" w:line="240" w:lineRule="auto"/>
              <w:ind w:left="60" w:right="60"/>
              <w:jc w:val="right"/>
              <w:rPr>
                <w:rFonts w:ascii="Times New Roman" w:hAnsi="Times New Roman" w:cs="Times New Roman"/>
                <w:color w:val="010205"/>
                <w:lang w:val="en-US"/>
              </w:rPr>
            </w:pPr>
            <w:r>
              <w:rPr>
                <w:rFonts w:ascii="Times New Roman" w:hAnsi="Times New Roman" w:cs="Times New Roman"/>
                <w:color w:val="010205"/>
                <w:lang w:val="en-US"/>
              </w:rPr>
              <w:t>19</w:t>
            </w:r>
          </w:p>
        </w:tc>
        <w:tc>
          <w:tcPr>
            <w:tcW w:w="1408"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c>
          <w:tcPr>
            <w:tcW w:w="1025"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c>
          <w:tcPr>
            <w:tcW w:w="1025" w:type="dxa"/>
            <w:shd w:val="clear" w:color="auto" w:fill="FFFFFF"/>
            <w:vAlign w:val="center"/>
          </w:tcPr>
          <w:p w:rsidR="003E6D75" w:rsidRDefault="003E6D75">
            <w:pPr>
              <w:autoSpaceDE w:val="0"/>
              <w:autoSpaceDN w:val="0"/>
              <w:adjustRightInd w:val="0"/>
              <w:spacing w:after="0" w:line="240" w:lineRule="auto"/>
              <w:rPr>
                <w:rFonts w:ascii="Times New Roman" w:hAnsi="Times New Roman" w:cs="Times New Roman"/>
                <w:lang w:val="en-US"/>
              </w:rPr>
            </w:pPr>
          </w:p>
        </w:tc>
      </w:tr>
      <w:tr w:rsidR="003E6D75">
        <w:trPr>
          <w:cantSplit/>
        </w:trPr>
        <w:tc>
          <w:tcPr>
            <w:tcW w:w="7969" w:type="dxa"/>
            <w:gridSpan w:val="7"/>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a. Dependent Variable: ROA</w:t>
            </w:r>
          </w:p>
        </w:tc>
      </w:tr>
      <w:tr w:rsidR="003E6D75">
        <w:trPr>
          <w:cantSplit/>
        </w:trPr>
        <w:tc>
          <w:tcPr>
            <w:tcW w:w="7969" w:type="dxa"/>
            <w:gridSpan w:val="7"/>
            <w:shd w:val="clear" w:color="auto" w:fill="FFFFFF"/>
          </w:tcPr>
          <w:p w:rsidR="003E6D75" w:rsidRDefault="00066F77">
            <w:pPr>
              <w:autoSpaceDE w:val="0"/>
              <w:autoSpaceDN w:val="0"/>
              <w:adjustRightInd w:val="0"/>
              <w:spacing w:after="0" w:line="240" w:lineRule="auto"/>
              <w:ind w:left="60" w:right="60"/>
              <w:rPr>
                <w:rFonts w:ascii="Times New Roman" w:hAnsi="Times New Roman" w:cs="Times New Roman"/>
                <w:color w:val="010205"/>
                <w:lang w:val="en-US"/>
              </w:rPr>
            </w:pPr>
            <w:r>
              <w:rPr>
                <w:rFonts w:ascii="Times New Roman" w:hAnsi="Times New Roman" w:cs="Times New Roman"/>
                <w:color w:val="010205"/>
                <w:lang w:val="en-US"/>
              </w:rPr>
              <w:t>b. Predictors: (Constant), FDR, CAR</w:t>
            </w:r>
          </w:p>
        </w:tc>
      </w:tr>
    </w:tbl>
    <w:p w:rsidR="003E6D75" w:rsidRDefault="00066F77">
      <w:pPr>
        <w:spacing w:after="0" w:line="240" w:lineRule="auto"/>
        <w:ind w:firstLine="720"/>
        <w:jc w:val="both"/>
        <w:rPr>
          <w:rFonts w:ascii="Times New Roman" w:hAnsi="Times New Roman" w:cs="Times New Roman"/>
          <w:b/>
          <w:bCs/>
        </w:rPr>
      </w:pPr>
      <w:r>
        <w:rPr>
          <w:rFonts w:ascii="Times New Roman" w:hAnsi="Times New Roman" w:cs="Times New Roman"/>
          <w:b/>
          <w:bCs/>
        </w:rPr>
        <w:t xml:space="preserve">Sumber: Data Sekunder yang </w:t>
      </w:r>
      <w:r>
        <w:rPr>
          <w:rFonts w:ascii="Times New Roman" w:hAnsi="Times New Roman" w:cs="Times New Roman"/>
          <w:b/>
          <w:bCs/>
        </w:rPr>
        <w:t>Diolah Menggunakan SPSS 24 (2018)</w:t>
      </w:r>
    </w:p>
    <w:p w:rsidR="003E6D75" w:rsidRDefault="00066F77">
      <w:pPr>
        <w:numPr>
          <w:ilvl w:val="0"/>
          <w:numId w:val="9"/>
        </w:numPr>
        <w:spacing w:after="0" w:line="240" w:lineRule="auto"/>
        <w:jc w:val="both"/>
        <w:rPr>
          <w:rFonts w:ascii="Times New Roman" w:hAnsi="Times New Roman" w:cs="Times New Roman"/>
        </w:rPr>
      </w:pPr>
      <w:r>
        <w:rPr>
          <w:rFonts w:ascii="Times New Roman" w:hAnsi="Times New Roman" w:cs="Times New Roman"/>
        </w:rPr>
        <w:t>Merumuskan hipotesis</w:t>
      </w:r>
    </w:p>
    <w:p w:rsidR="003E6D75" w:rsidRDefault="00066F77">
      <w:pPr>
        <w:spacing w:after="0" w:line="240" w:lineRule="auto"/>
        <w:ind w:leftChars="199" w:left="438"/>
        <w:jc w:val="both"/>
        <w:rPr>
          <w:rFonts w:ascii="Times New Roman" w:hAnsi="Times New Roman" w:cs="Times New Roman"/>
        </w:rPr>
      </w:pPr>
      <w:r>
        <w:rPr>
          <w:rFonts w:ascii="Times New Roman" w:hAnsi="Times New Roman" w:cs="Times New Roman"/>
        </w:rPr>
        <w:t xml:space="preserve">Ho: </w:t>
      </w:r>
      <w:r>
        <w:rPr>
          <w:rFonts w:ascii="Times New Roman" w:hAnsi="Times New Roman" w:cs="Times New Roman"/>
          <w:i/>
          <w:iCs/>
        </w:rPr>
        <w:t xml:space="preserve">Capital Adequacy Ratio </w:t>
      </w:r>
      <w:r>
        <w:rPr>
          <w:rFonts w:ascii="Times New Roman" w:hAnsi="Times New Roman" w:cs="Times New Roman"/>
        </w:rPr>
        <w:t xml:space="preserve">(CAR) dan </w:t>
      </w:r>
      <w:r>
        <w:rPr>
          <w:rFonts w:ascii="Times New Roman" w:hAnsi="Times New Roman" w:cs="Times New Roman"/>
          <w:i/>
          <w:iCs/>
        </w:rPr>
        <w:t xml:space="preserve">Financing to Deposit Ratio </w:t>
      </w:r>
      <w:r>
        <w:rPr>
          <w:rFonts w:ascii="Times New Roman" w:hAnsi="Times New Roman" w:cs="Times New Roman"/>
        </w:rPr>
        <w:t xml:space="preserve">(FDR) tidak berpengaruh secara simultan terhadap </w:t>
      </w:r>
      <w:r>
        <w:rPr>
          <w:rFonts w:ascii="Times New Roman" w:hAnsi="Times New Roman" w:cs="Times New Roman"/>
          <w:i/>
          <w:iCs/>
        </w:rPr>
        <w:t xml:space="preserve">Return On Asset </w:t>
      </w:r>
      <w:r>
        <w:rPr>
          <w:rFonts w:ascii="Times New Roman" w:hAnsi="Times New Roman" w:cs="Times New Roman"/>
        </w:rPr>
        <w:t>(ROA) pada Bank BNI Syariah periode 2012-2016.</w:t>
      </w:r>
    </w:p>
    <w:p w:rsidR="003E6D75" w:rsidRDefault="00066F77">
      <w:pPr>
        <w:spacing w:after="0" w:line="240" w:lineRule="auto"/>
        <w:ind w:leftChars="199" w:left="438"/>
        <w:jc w:val="both"/>
        <w:rPr>
          <w:rFonts w:ascii="Times New Roman" w:hAnsi="Times New Roman" w:cs="Times New Roman"/>
        </w:rPr>
      </w:pPr>
      <w:r>
        <w:rPr>
          <w:rFonts w:ascii="Times New Roman" w:hAnsi="Times New Roman" w:cs="Times New Roman"/>
        </w:rPr>
        <w:t>H</w:t>
      </w:r>
      <w:r>
        <w:rPr>
          <w:rFonts w:ascii="Times New Roman" w:hAnsi="Times New Roman" w:cs="Times New Roman"/>
          <w:vertAlign w:val="subscript"/>
        </w:rPr>
        <w:t>1</w:t>
      </w:r>
      <w:r>
        <w:rPr>
          <w:rFonts w:ascii="Times New Roman" w:hAnsi="Times New Roman" w:cs="Times New Roman"/>
        </w:rPr>
        <w:t xml:space="preserve">: </w:t>
      </w:r>
      <w:r>
        <w:rPr>
          <w:rFonts w:ascii="Times New Roman" w:hAnsi="Times New Roman" w:cs="Times New Roman"/>
          <w:i/>
          <w:iCs/>
        </w:rPr>
        <w:t xml:space="preserve">Capital Adequacy Ratio </w:t>
      </w:r>
      <w:r>
        <w:rPr>
          <w:rFonts w:ascii="Times New Roman" w:hAnsi="Times New Roman" w:cs="Times New Roman"/>
        </w:rPr>
        <w:t xml:space="preserve">(CAR) dan </w:t>
      </w:r>
      <w:r>
        <w:rPr>
          <w:rFonts w:ascii="Times New Roman" w:hAnsi="Times New Roman" w:cs="Times New Roman"/>
          <w:i/>
          <w:iCs/>
        </w:rPr>
        <w:t xml:space="preserve">Financing to Deposit Ratio </w:t>
      </w:r>
      <w:r>
        <w:rPr>
          <w:rFonts w:ascii="Times New Roman" w:hAnsi="Times New Roman" w:cs="Times New Roman"/>
        </w:rPr>
        <w:t xml:space="preserve">(FDR) berpengaruh secara simultan terhadap </w:t>
      </w:r>
      <w:r>
        <w:rPr>
          <w:rFonts w:ascii="Times New Roman" w:hAnsi="Times New Roman" w:cs="Times New Roman"/>
          <w:i/>
          <w:iCs/>
        </w:rPr>
        <w:t xml:space="preserve">Return On Asset </w:t>
      </w:r>
      <w:r>
        <w:rPr>
          <w:rFonts w:ascii="Times New Roman" w:hAnsi="Times New Roman" w:cs="Times New Roman"/>
        </w:rPr>
        <w:t>(ROA) pada Bank BNI Syariah periode 2012-2016.</w:t>
      </w:r>
    </w:p>
    <w:p w:rsidR="003E6D75" w:rsidRDefault="00066F77">
      <w:pPr>
        <w:numPr>
          <w:ilvl w:val="0"/>
          <w:numId w:val="9"/>
        </w:numPr>
        <w:spacing w:after="0" w:line="240" w:lineRule="auto"/>
        <w:jc w:val="both"/>
        <w:rPr>
          <w:rFonts w:ascii="Times New Roman" w:hAnsi="Times New Roman" w:cs="Times New Roman"/>
        </w:rPr>
      </w:pPr>
      <w:r>
        <w:rPr>
          <w:rFonts w:ascii="Times New Roman" w:hAnsi="Times New Roman" w:cs="Times New Roman"/>
        </w:rPr>
        <w:t>Menentukan F</w:t>
      </w:r>
      <w:r>
        <w:rPr>
          <w:rFonts w:ascii="Times New Roman" w:hAnsi="Times New Roman" w:cs="Times New Roman"/>
          <w:vertAlign w:val="subscript"/>
        </w:rPr>
        <w:t>hitung</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Dari output didapat f</w:t>
      </w:r>
      <w:r>
        <w:rPr>
          <w:rFonts w:ascii="Times New Roman" w:hAnsi="Times New Roman" w:cs="Times New Roman"/>
          <w:vertAlign w:val="subscript"/>
        </w:rPr>
        <w:t xml:space="preserve">hitung </w:t>
      </w:r>
      <w:r>
        <w:rPr>
          <w:rFonts w:ascii="Times New Roman" w:hAnsi="Times New Roman" w:cs="Times New Roman"/>
        </w:rPr>
        <w:t>sebesar 5,108 dan signifikansi 0,018.</w:t>
      </w:r>
    </w:p>
    <w:p w:rsidR="003E6D75" w:rsidRDefault="00066F77">
      <w:pPr>
        <w:numPr>
          <w:ilvl w:val="0"/>
          <w:numId w:val="9"/>
        </w:numPr>
        <w:spacing w:after="0" w:line="240" w:lineRule="auto"/>
        <w:jc w:val="both"/>
        <w:rPr>
          <w:rFonts w:ascii="Times New Roman" w:hAnsi="Times New Roman" w:cs="Times New Roman"/>
        </w:rPr>
      </w:pPr>
      <w:r>
        <w:rPr>
          <w:rFonts w:ascii="Times New Roman" w:hAnsi="Times New Roman" w:cs="Times New Roman"/>
        </w:rPr>
        <w:t>Menen</w:t>
      </w:r>
      <w:r>
        <w:rPr>
          <w:rFonts w:ascii="Times New Roman" w:hAnsi="Times New Roman" w:cs="Times New Roman"/>
        </w:rPr>
        <w:t>tukan F</w:t>
      </w:r>
      <w:r>
        <w:rPr>
          <w:rFonts w:ascii="Times New Roman" w:hAnsi="Times New Roman" w:cs="Times New Roman"/>
          <w:vertAlign w:val="subscript"/>
        </w:rPr>
        <w:t>tabel</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F tabel dapat dilihat pada tabel statistik pada tingkat signifikansi 0,05 dengan derajat kebebasan df=k-1 dan df2=n-k, dimana n merupakan jumlah sampel, k merupakan jumlah variabel. Maka df=k-1 yaitu 3-1=2 sedangkan df2=n-k yaitu 20-3=17. Hasi</w:t>
      </w:r>
      <w:r>
        <w:rPr>
          <w:rFonts w:ascii="Times New Roman" w:hAnsi="Times New Roman" w:cs="Times New Roman"/>
        </w:rPr>
        <w:t>l F tabel diperoleh sebesar 3,59 (dilihat dari f tabel)</w:t>
      </w:r>
    </w:p>
    <w:p w:rsidR="003E6D75" w:rsidRDefault="00066F77">
      <w:pPr>
        <w:numPr>
          <w:ilvl w:val="0"/>
          <w:numId w:val="9"/>
        </w:numPr>
        <w:spacing w:after="0" w:line="240" w:lineRule="auto"/>
        <w:jc w:val="both"/>
        <w:rPr>
          <w:rFonts w:ascii="Times New Roman" w:hAnsi="Times New Roman" w:cs="Times New Roman"/>
        </w:rPr>
      </w:pPr>
      <w:r>
        <w:rPr>
          <w:rFonts w:ascii="Times New Roman" w:hAnsi="Times New Roman" w:cs="Times New Roman"/>
        </w:rPr>
        <w:t>Kriteria pengujian</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Jika f</w:t>
      </w:r>
      <w:r>
        <w:rPr>
          <w:rFonts w:ascii="Times New Roman" w:hAnsi="Times New Roman" w:cs="Times New Roman"/>
          <w:vertAlign w:val="subscript"/>
        </w:rPr>
        <w:t xml:space="preserve">hitung </w:t>
      </w:r>
      <w:r>
        <w:rPr>
          <w:rFonts w:ascii="Times New Roman" w:hAnsi="Times New Roman" w:cs="Times New Roman"/>
        </w:rPr>
        <w:t>≤ f</w:t>
      </w:r>
      <w:r>
        <w:rPr>
          <w:rFonts w:ascii="Times New Roman" w:hAnsi="Times New Roman" w:cs="Times New Roman"/>
          <w:vertAlign w:val="subscript"/>
        </w:rPr>
        <w:t xml:space="preserve">tabel </w:t>
      </w:r>
      <w:r>
        <w:rPr>
          <w:rFonts w:ascii="Times New Roman" w:hAnsi="Times New Roman" w:cs="Times New Roman"/>
        </w:rPr>
        <w:t>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199" w:left="438"/>
        <w:jc w:val="both"/>
        <w:rPr>
          <w:rFonts w:ascii="Times New Roman" w:hAnsi="Times New Roman" w:cs="Times New Roman"/>
        </w:rPr>
      </w:pPr>
      <w:r>
        <w:rPr>
          <w:rFonts w:ascii="Times New Roman" w:hAnsi="Times New Roman" w:cs="Times New Roman"/>
        </w:rPr>
        <w:t>Jika f</w:t>
      </w:r>
      <w:r>
        <w:rPr>
          <w:rFonts w:ascii="Times New Roman" w:hAnsi="Times New Roman" w:cs="Times New Roman"/>
          <w:vertAlign w:val="subscript"/>
        </w:rPr>
        <w:t xml:space="preserve">hitung </w:t>
      </w:r>
      <w:r>
        <w:rPr>
          <w:rFonts w:ascii="Times New Roman" w:hAnsi="Times New Roman" w:cs="Times New Roman"/>
        </w:rPr>
        <w:t>≥ f</w:t>
      </w:r>
      <w:r>
        <w:rPr>
          <w:rFonts w:ascii="Times New Roman" w:hAnsi="Times New Roman" w:cs="Times New Roman"/>
          <w:vertAlign w:val="subscript"/>
        </w:rPr>
        <w:t xml:space="preserve">tabel </w:t>
      </w:r>
      <w:r>
        <w:rPr>
          <w:rFonts w:ascii="Times New Roman" w:hAnsi="Times New Roman" w:cs="Times New Roman"/>
        </w:rPr>
        <w:t>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Berdasarkan signifikansi:</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Jika signifikansi &gt; 0,05 maka Ho diterima dan H</w:t>
      </w:r>
      <w:r>
        <w:rPr>
          <w:rFonts w:ascii="Times New Roman" w:hAnsi="Times New Roman" w:cs="Times New Roman"/>
          <w:vertAlign w:val="subscript"/>
        </w:rPr>
        <w:t xml:space="preserve">1 </w:t>
      </w:r>
      <w:r>
        <w:rPr>
          <w:rFonts w:ascii="Times New Roman" w:hAnsi="Times New Roman" w:cs="Times New Roman"/>
        </w:rPr>
        <w:t>ditolak</w:t>
      </w:r>
    </w:p>
    <w:p w:rsidR="003E6D75" w:rsidRDefault="00066F77">
      <w:pPr>
        <w:spacing w:after="0" w:line="240" w:lineRule="auto"/>
        <w:ind w:leftChars="200" w:left="440"/>
        <w:jc w:val="both"/>
        <w:rPr>
          <w:rFonts w:ascii="Times New Roman" w:hAnsi="Times New Roman" w:cs="Times New Roman"/>
        </w:rPr>
      </w:pPr>
      <w:r>
        <w:rPr>
          <w:rFonts w:ascii="Times New Roman" w:hAnsi="Times New Roman" w:cs="Times New Roman"/>
        </w:rPr>
        <w:t>Jika signifikansi &lt; 0,05 maka Ho ditolak dan H</w:t>
      </w:r>
      <w:r>
        <w:rPr>
          <w:rFonts w:ascii="Times New Roman" w:hAnsi="Times New Roman" w:cs="Times New Roman"/>
          <w:vertAlign w:val="subscript"/>
        </w:rPr>
        <w:t xml:space="preserve">1 </w:t>
      </w:r>
      <w:r>
        <w:rPr>
          <w:rFonts w:ascii="Times New Roman" w:hAnsi="Times New Roman" w:cs="Times New Roman"/>
        </w:rPr>
        <w:t>diterima</w:t>
      </w:r>
    </w:p>
    <w:p w:rsidR="003E6D75" w:rsidRDefault="00066F77">
      <w:pPr>
        <w:numPr>
          <w:ilvl w:val="0"/>
          <w:numId w:val="9"/>
        </w:numPr>
        <w:spacing w:after="0" w:line="240" w:lineRule="auto"/>
        <w:jc w:val="both"/>
        <w:rPr>
          <w:rFonts w:ascii="Times New Roman" w:hAnsi="Times New Roman" w:cs="Times New Roman"/>
        </w:rPr>
      </w:pPr>
      <w:r>
        <w:rPr>
          <w:rFonts w:ascii="Times New Roman" w:hAnsi="Times New Roman" w:cs="Times New Roman"/>
        </w:rPr>
        <w:t>Membuat kesimpulan</w:t>
      </w:r>
    </w:p>
    <w:p w:rsidR="003E6D75" w:rsidRDefault="00066F77">
      <w:pPr>
        <w:spacing w:after="0" w:line="240" w:lineRule="auto"/>
        <w:ind w:leftChars="200" w:left="440"/>
        <w:jc w:val="both"/>
        <w:rPr>
          <w:rFonts w:ascii="Times New Roman" w:eastAsia="Calibri" w:hAnsi="Times New Roman" w:cs="Times New Roman"/>
        </w:rPr>
      </w:pPr>
      <w:r>
        <w:rPr>
          <w:rFonts w:ascii="Times New Roman" w:hAnsi="Times New Roman" w:cs="Times New Roman"/>
        </w:rPr>
        <w:t>Nilai f</w:t>
      </w:r>
      <w:r>
        <w:rPr>
          <w:rFonts w:ascii="Times New Roman" w:hAnsi="Times New Roman" w:cs="Times New Roman"/>
          <w:vertAlign w:val="subscript"/>
        </w:rPr>
        <w:t xml:space="preserve">hitung </w:t>
      </w:r>
      <w:r>
        <w:rPr>
          <w:rFonts w:ascii="Times New Roman" w:hAnsi="Times New Roman" w:cs="Times New Roman"/>
        </w:rPr>
        <w:t>≥ f</w:t>
      </w:r>
      <w:r>
        <w:rPr>
          <w:rFonts w:ascii="Times New Roman" w:hAnsi="Times New Roman" w:cs="Times New Roman"/>
          <w:vertAlign w:val="subscript"/>
        </w:rPr>
        <w:t xml:space="preserve">tabel </w:t>
      </w:r>
      <w:r>
        <w:rPr>
          <w:rFonts w:ascii="Times New Roman" w:hAnsi="Times New Roman" w:cs="Times New Roman"/>
        </w:rPr>
        <w:t>(5,108 &gt; 3,59) dan signifikansi &lt;0,05 (0,018 &lt; 0,05), maka dengan demikian dapat disimpulkan bahwa Ho ditolak dan H</w:t>
      </w:r>
      <w:r>
        <w:rPr>
          <w:rFonts w:ascii="Times New Roman" w:hAnsi="Times New Roman" w:cs="Times New Roman"/>
          <w:vertAlign w:val="subscript"/>
        </w:rPr>
        <w:t xml:space="preserve">1 </w:t>
      </w:r>
      <w:r>
        <w:rPr>
          <w:rFonts w:ascii="Times New Roman" w:hAnsi="Times New Roman" w:cs="Times New Roman"/>
        </w:rPr>
        <w:t xml:space="preserve">diterima yang berarti </w:t>
      </w:r>
      <w:r>
        <w:rPr>
          <w:rFonts w:ascii="Times New Roman" w:hAnsi="Times New Roman" w:cs="Times New Roman"/>
          <w:i/>
          <w:iCs/>
        </w:rPr>
        <w:t xml:space="preserve">Capital </w:t>
      </w:r>
      <w:r>
        <w:rPr>
          <w:rFonts w:ascii="Times New Roman" w:hAnsi="Times New Roman" w:cs="Times New Roman"/>
          <w:i/>
          <w:iCs/>
        </w:rPr>
        <w:t xml:space="preserve">Adequacy Ratio </w:t>
      </w:r>
      <w:r>
        <w:rPr>
          <w:rFonts w:ascii="Times New Roman" w:hAnsi="Times New Roman" w:cs="Times New Roman"/>
        </w:rPr>
        <w:t xml:space="preserve">(CAR) dan </w:t>
      </w:r>
      <w:r>
        <w:rPr>
          <w:rFonts w:ascii="Times New Roman" w:hAnsi="Times New Roman" w:cs="Times New Roman"/>
          <w:i/>
          <w:iCs/>
        </w:rPr>
        <w:t xml:space="preserve">Financing to Deposit Ratio </w:t>
      </w:r>
      <w:r>
        <w:rPr>
          <w:rFonts w:ascii="Times New Roman" w:hAnsi="Times New Roman" w:cs="Times New Roman"/>
        </w:rPr>
        <w:t xml:space="preserve">(FDR)  berpengaruh secara simultan terhadap </w:t>
      </w:r>
      <w:r>
        <w:rPr>
          <w:rFonts w:ascii="Times New Roman" w:hAnsi="Times New Roman" w:cs="Times New Roman"/>
          <w:i/>
          <w:iCs/>
        </w:rPr>
        <w:t xml:space="preserve">Return On Asset </w:t>
      </w:r>
      <w:r>
        <w:rPr>
          <w:rFonts w:ascii="Times New Roman" w:hAnsi="Times New Roman" w:cs="Times New Roman"/>
        </w:rPr>
        <w:t>(ROA) dengan signifikansi yang diperoleh dari hasil SPSS  pada tabel 4.12 yaitu sebesar 0,018 yang berarti lebih dari 0,05 yang berarti variabel</w:t>
      </w:r>
      <w:r>
        <w:rPr>
          <w:rFonts w:ascii="Times New Roman" w:hAnsi="Times New Roman" w:cs="Times New Roman"/>
        </w:rPr>
        <w:t xml:space="preserve"> bebas (X1) dan (X2) berpengaruh signifikan terhadap variabel terikat (Y)</w:t>
      </w:r>
      <w:r>
        <w:rPr>
          <w:rFonts w:ascii="Times New Roman" w:hAnsi="Times New Roman" w:cs="Times New Roman"/>
        </w:rPr>
        <w:t>.</w:t>
      </w:r>
    </w:p>
    <w:p w:rsidR="003E6D75" w:rsidRDefault="003E6D75">
      <w:pPr>
        <w:spacing w:after="0" w:line="240" w:lineRule="auto"/>
        <w:jc w:val="both"/>
        <w:rPr>
          <w:rFonts w:ascii="Times New Roman" w:eastAsia="Calibri" w:hAnsi="Times New Roman"/>
          <w:b/>
          <w:bCs/>
        </w:rPr>
      </w:pPr>
    </w:p>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 xml:space="preserve">Pembahasan Penelitian </w:t>
      </w:r>
    </w:p>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 xml:space="preserve">Pengaruh </w:t>
      </w:r>
      <w:r>
        <w:rPr>
          <w:rFonts w:ascii="Times New Roman" w:eastAsia="Calibri" w:hAnsi="Times New Roman"/>
          <w:b/>
          <w:bCs/>
          <w:i/>
          <w:iCs/>
        </w:rPr>
        <w:t xml:space="preserve">Capital Adequacy Ratio </w:t>
      </w:r>
      <w:r>
        <w:rPr>
          <w:rFonts w:ascii="Times New Roman" w:eastAsia="Calibri" w:hAnsi="Times New Roman"/>
          <w:b/>
          <w:bCs/>
        </w:rPr>
        <w:t xml:space="preserve">(CAR) terhadap </w:t>
      </w:r>
      <w:r>
        <w:rPr>
          <w:rFonts w:ascii="Times New Roman" w:eastAsia="Calibri" w:hAnsi="Times New Roman"/>
          <w:b/>
          <w:bCs/>
          <w:i/>
          <w:iCs/>
        </w:rPr>
        <w:t xml:space="preserve">Return On Asset </w:t>
      </w:r>
      <w:r>
        <w:rPr>
          <w:rFonts w:ascii="Times New Roman" w:eastAsia="Calibri" w:hAnsi="Times New Roman"/>
          <w:b/>
          <w:bCs/>
        </w:rPr>
        <w:t>(ROA)</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Hasil penelitian menunjukkan bahwa variabel X</w:t>
      </w:r>
      <w:r>
        <w:rPr>
          <w:rFonts w:ascii="Times New Roman" w:eastAsia="Calibri" w:hAnsi="Times New Roman"/>
          <w:vertAlign w:val="subscript"/>
        </w:rPr>
        <w:t xml:space="preserve">1 </w:t>
      </w:r>
      <w:r>
        <w:rPr>
          <w:rFonts w:ascii="Times New Roman" w:eastAsia="Calibri" w:hAnsi="Times New Roman"/>
          <w:i/>
          <w:iCs/>
        </w:rPr>
        <w:t xml:space="preserve">Capital Adequacy Ratio </w:t>
      </w:r>
      <w:r>
        <w:rPr>
          <w:rFonts w:ascii="Times New Roman" w:eastAsia="Calibri" w:hAnsi="Times New Roman"/>
        </w:rPr>
        <w:t xml:space="preserve">(CAR) terhadap variabel Y </w:t>
      </w:r>
      <w:r>
        <w:rPr>
          <w:rFonts w:ascii="Times New Roman" w:eastAsia="Calibri" w:hAnsi="Times New Roman"/>
          <w:i/>
          <w:iCs/>
        </w:rPr>
        <w:t xml:space="preserve">Return On Asset </w:t>
      </w:r>
      <w:r>
        <w:rPr>
          <w:rFonts w:ascii="Times New Roman" w:eastAsia="Calibri" w:hAnsi="Times New Roman"/>
        </w:rPr>
        <w:t xml:space="preserve">(ROA) pada Bank BNI Syariah periode 2012-2016 </w:t>
      </w:r>
      <w:r>
        <w:rPr>
          <w:rFonts w:ascii="Times New Roman" w:eastAsia="Calibri" w:hAnsi="Times New Roman"/>
        </w:rPr>
        <w:lastRenderedPageBreak/>
        <w:t xml:space="preserve">berpengaruh signifikan. Hal ini didukung dengan perhitungan yang diperoleh dari nilai t dari </w:t>
      </w:r>
      <w:r>
        <w:rPr>
          <w:rFonts w:ascii="Times New Roman" w:eastAsia="Calibri" w:hAnsi="Times New Roman"/>
          <w:i/>
          <w:iCs/>
        </w:rPr>
        <w:t xml:space="preserve">Capital Adequacy Ratio </w:t>
      </w:r>
      <w:r>
        <w:rPr>
          <w:rFonts w:ascii="Times New Roman" w:eastAsia="Calibri" w:hAnsi="Times New Roman"/>
        </w:rPr>
        <w:t xml:space="preserve">(CAR) sebesar -2,994 dan signifikansi 0,008. Karena </w:t>
      </w:r>
      <w:r>
        <w:rPr>
          <w:rFonts w:ascii="Times New Roman" w:eastAsia="Calibri" w:hAnsi="Times New Roman"/>
        </w:rPr>
        <w:t>t-hitung (-2,994) dan signifikansi (0,008) yang lebih kecil dari 0,05 maka pada tingkat kekeliruan 5% diputuskan untuk menerima H</w:t>
      </w:r>
      <w:r>
        <w:rPr>
          <w:rFonts w:ascii="Times New Roman" w:eastAsia="Calibri" w:hAnsi="Times New Roman"/>
          <w:vertAlign w:val="subscript"/>
        </w:rPr>
        <w:t>1</w:t>
      </w:r>
      <w:r>
        <w:rPr>
          <w:rFonts w:ascii="Times New Roman" w:eastAsia="Calibri" w:hAnsi="Times New Roman"/>
        </w:rPr>
        <w:t xml:space="preserve"> dan sehingga Ho ditolak, artinya </w:t>
      </w:r>
      <w:r>
        <w:rPr>
          <w:rFonts w:ascii="Times New Roman" w:eastAsia="Calibri" w:hAnsi="Times New Roman"/>
          <w:i/>
          <w:iCs/>
        </w:rPr>
        <w:t xml:space="preserve">Capital Adequacy Ratio </w:t>
      </w:r>
      <w:r>
        <w:rPr>
          <w:rFonts w:ascii="Times New Roman" w:eastAsia="Calibri" w:hAnsi="Times New Roman"/>
        </w:rPr>
        <w:t xml:space="preserve">(CAR) (X1) secara parsial berpengaruh signifikan terhadap </w:t>
      </w:r>
      <w:r>
        <w:rPr>
          <w:rFonts w:ascii="Times New Roman" w:eastAsia="Calibri" w:hAnsi="Times New Roman"/>
          <w:i/>
          <w:iCs/>
        </w:rPr>
        <w:t>Return On A</w:t>
      </w:r>
      <w:r>
        <w:rPr>
          <w:rFonts w:ascii="Times New Roman" w:eastAsia="Calibri" w:hAnsi="Times New Roman"/>
          <w:i/>
          <w:iCs/>
        </w:rPr>
        <w:t xml:space="preserve">sset </w:t>
      </w:r>
      <w:r>
        <w:rPr>
          <w:rFonts w:ascii="Times New Roman" w:eastAsia="Calibri" w:hAnsi="Times New Roman"/>
        </w:rPr>
        <w:t xml:space="preserve">(ROA), apabila terjadi kenaikan jumlah </w:t>
      </w:r>
      <w:r>
        <w:rPr>
          <w:rFonts w:ascii="Times New Roman" w:eastAsia="Calibri" w:hAnsi="Times New Roman"/>
          <w:i/>
          <w:iCs/>
        </w:rPr>
        <w:t xml:space="preserve">Capital Adequacy Ratio </w:t>
      </w:r>
      <w:r>
        <w:rPr>
          <w:rFonts w:ascii="Times New Roman" w:eastAsia="Calibri" w:hAnsi="Times New Roman"/>
        </w:rPr>
        <w:t xml:space="preserve">(CAR) secara berkelanjutan, maka akan mengakibatkan kenaikan </w:t>
      </w:r>
      <w:r>
        <w:rPr>
          <w:rFonts w:ascii="Times New Roman" w:eastAsia="Calibri" w:hAnsi="Times New Roman"/>
          <w:i/>
          <w:iCs/>
        </w:rPr>
        <w:t>Return On Asset</w:t>
      </w:r>
      <w:r>
        <w:rPr>
          <w:rFonts w:ascii="Times New Roman" w:eastAsia="Calibri" w:hAnsi="Times New Roman"/>
        </w:rPr>
        <w:t xml:space="preserve"> (ROA). Hal ini menunjukkan bahwa pada Bank BNI Syariah periode tahun 2012-2016 tingkat atau jumlah </w:t>
      </w:r>
      <w:r>
        <w:rPr>
          <w:rFonts w:ascii="Times New Roman" w:eastAsia="Calibri" w:hAnsi="Times New Roman"/>
          <w:i/>
          <w:iCs/>
        </w:rPr>
        <w:t>Capital Adequ</w:t>
      </w:r>
      <w:r>
        <w:rPr>
          <w:rFonts w:ascii="Times New Roman" w:eastAsia="Calibri" w:hAnsi="Times New Roman"/>
          <w:i/>
          <w:iCs/>
        </w:rPr>
        <w:t xml:space="preserve">acy Ratio </w:t>
      </w:r>
      <w:r>
        <w:rPr>
          <w:rFonts w:ascii="Times New Roman" w:eastAsia="Calibri" w:hAnsi="Times New Roman"/>
        </w:rPr>
        <w:t xml:space="preserve">(CAR) secara langsung mempengaruhi tingkat atau jumlah </w:t>
      </w:r>
      <w:r>
        <w:rPr>
          <w:rFonts w:ascii="Times New Roman" w:eastAsia="Calibri" w:hAnsi="Times New Roman"/>
          <w:i/>
          <w:iCs/>
        </w:rPr>
        <w:t xml:space="preserve">Return On Asset </w:t>
      </w:r>
      <w:r>
        <w:rPr>
          <w:rFonts w:ascii="Times New Roman" w:eastAsia="Calibri" w:hAnsi="Times New Roman"/>
        </w:rPr>
        <w:t>(ROA).</w:t>
      </w:r>
    </w:p>
    <w:p w:rsidR="003E6D75" w:rsidRDefault="00066F77">
      <w:pPr>
        <w:spacing w:after="0" w:line="240" w:lineRule="auto"/>
        <w:jc w:val="both"/>
        <w:rPr>
          <w:rFonts w:ascii="Times New Roman" w:eastAsia="Calibri" w:hAnsi="Times New Roman"/>
        </w:rPr>
      </w:pPr>
      <w:r>
        <w:rPr>
          <w:rFonts w:ascii="Times New Roman" w:eastAsia="Calibri" w:hAnsi="Times New Roman"/>
        </w:rPr>
        <w:t>Hasil penelitian ini sesuai dengan hasil penelitian dari Bambang Sudiyanto (2008) dengan judul “Analisis pengaruh Dana Pihak Ketiga, BOPO, CAR, DAN LDR terhadap kinerja</w:t>
      </w:r>
      <w:r>
        <w:rPr>
          <w:rFonts w:ascii="Times New Roman" w:eastAsia="Calibri" w:hAnsi="Times New Roman"/>
        </w:rPr>
        <w:t xml:space="preserve"> keuangan pada sektor perbankan yang </w:t>
      </w:r>
      <w:r>
        <w:rPr>
          <w:rFonts w:ascii="Times New Roman" w:eastAsia="Calibri" w:hAnsi="Times New Roman"/>
          <w:i/>
          <w:iCs/>
        </w:rPr>
        <w:t>go public</w:t>
      </w:r>
      <w:r>
        <w:rPr>
          <w:rFonts w:ascii="Times New Roman" w:eastAsia="Calibri" w:hAnsi="Times New Roman"/>
        </w:rPr>
        <w:t xml:space="preserve">” yang menunjukkan bahwa secara parsial </w:t>
      </w:r>
      <w:r>
        <w:rPr>
          <w:rFonts w:ascii="Times New Roman" w:eastAsia="Calibri" w:hAnsi="Times New Roman"/>
          <w:i/>
          <w:iCs/>
        </w:rPr>
        <w:t xml:space="preserve">Capital Adequacy Ratio </w:t>
      </w:r>
      <w:r>
        <w:rPr>
          <w:rFonts w:ascii="Times New Roman" w:eastAsia="Calibri" w:hAnsi="Times New Roman"/>
        </w:rPr>
        <w:t xml:space="preserve">(CAR) berpengaruh terhadap </w:t>
      </w:r>
      <w:r>
        <w:rPr>
          <w:rFonts w:ascii="Times New Roman" w:eastAsia="Calibri" w:hAnsi="Times New Roman"/>
          <w:i/>
          <w:iCs/>
        </w:rPr>
        <w:t xml:space="preserve">Return On Asset </w:t>
      </w:r>
      <w:r>
        <w:rPr>
          <w:rFonts w:ascii="Times New Roman" w:eastAsia="Calibri" w:hAnsi="Times New Roman"/>
        </w:rPr>
        <w:t>(ROA).</w:t>
      </w:r>
    </w:p>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 xml:space="preserve">Pengaruh </w:t>
      </w:r>
      <w:r>
        <w:rPr>
          <w:rFonts w:ascii="Times New Roman" w:eastAsia="Calibri" w:hAnsi="Times New Roman"/>
          <w:b/>
          <w:bCs/>
          <w:i/>
          <w:iCs/>
        </w:rPr>
        <w:t xml:space="preserve">Financing to Deposit Ratio </w:t>
      </w:r>
      <w:r>
        <w:rPr>
          <w:rFonts w:ascii="Times New Roman" w:eastAsia="Calibri" w:hAnsi="Times New Roman"/>
          <w:b/>
          <w:bCs/>
        </w:rPr>
        <w:t xml:space="preserve">(FDR) terhadap </w:t>
      </w:r>
      <w:r>
        <w:rPr>
          <w:rFonts w:ascii="Times New Roman" w:eastAsia="Calibri" w:hAnsi="Times New Roman"/>
          <w:b/>
          <w:bCs/>
          <w:i/>
          <w:iCs/>
        </w:rPr>
        <w:t xml:space="preserve">Return On Asset </w:t>
      </w:r>
      <w:r>
        <w:rPr>
          <w:rFonts w:ascii="Times New Roman" w:eastAsia="Calibri" w:hAnsi="Times New Roman"/>
          <w:b/>
          <w:bCs/>
        </w:rPr>
        <w:t>(ROA)</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Berdasarkan hasil analis</w:t>
      </w:r>
      <w:r>
        <w:rPr>
          <w:rFonts w:ascii="Times New Roman" w:eastAsia="Calibri" w:hAnsi="Times New Roman"/>
        </w:rPr>
        <w:t xml:space="preserve">is secara parsial yang diperoleh dari nilai koefisien regresi dapat disimpulkan bahwa pengaruh </w:t>
      </w:r>
      <w:r>
        <w:rPr>
          <w:rFonts w:ascii="Times New Roman" w:eastAsia="Calibri" w:hAnsi="Times New Roman"/>
          <w:i/>
          <w:iCs/>
        </w:rPr>
        <w:t xml:space="preserve">Financing to Deposit Ratio </w:t>
      </w:r>
      <w:r>
        <w:rPr>
          <w:rFonts w:ascii="Times New Roman" w:eastAsia="Calibri" w:hAnsi="Times New Roman"/>
        </w:rPr>
        <w:t xml:space="preserve">(FDR) berpengaruh negatif terhadap </w:t>
      </w:r>
      <w:r>
        <w:rPr>
          <w:rFonts w:ascii="Times New Roman" w:eastAsia="Calibri" w:hAnsi="Times New Roman"/>
          <w:i/>
          <w:iCs/>
        </w:rPr>
        <w:t xml:space="preserve">Return On Asset </w:t>
      </w:r>
      <w:r>
        <w:rPr>
          <w:rFonts w:ascii="Times New Roman" w:eastAsia="Calibri" w:hAnsi="Times New Roman"/>
        </w:rPr>
        <w:t>(ROA). Hasil perhitungan menunjukkan bahwa pengaruh yang terjadi adalah pengaruh ne</w:t>
      </w:r>
      <w:r>
        <w:rPr>
          <w:rFonts w:ascii="Times New Roman" w:eastAsia="Calibri" w:hAnsi="Times New Roman"/>
        </w:rPr>
        <w:t>gatif terhadap besarnya profitabilitas (ROA).</w:t>
      </w:r>
    </w:p>
    <w:p w:rsidR="003E6D75" w:rsidRDefault="00066F77">
      <w:pPr>
        <w:spacing w:after="0" w:line="240" w:lineRule="auto"/>
        <w:jc w:val="both"/>
        <w:rPr>
          <w:rFonts w:ascii="Times New Roman" w:eastAsia="Calibri" w:hAnsi="Times New Roman"/>
        </w:rPr>
      </w:pPr>
      <w:r>
        <w:rPr>
          <w:rFonts w:ascii="Times New Roman" w:eastAsia="Calibri" w:hAnsi="Times New Roman"/>
        </w:rPr>
        <w:t xml:space="preserve">Hal ini didukung dengan perhitungan yang diperoleh dari nilai t dari </w:t>
      </w:r>
      <w:r>
        <w:rPr>
          <w:rFonts w:ascii="Times New Roman" w:eastAsia="Calibri" w:hAnsi="Times New Roman"/>
          <w:i/>
          <w:iCs/>
        </w:rPr>
        <w:t xml:space="preserve">Financing to Deposit Ratio </w:t>
      </w:r>
      <w:r>
        <w:rPr>
          <w:rFonts w:ascii="Times New Roman" w:eastAsia="Calibri" w:hAnsi="Times New Roman"/>
        </w:rPr>
        <w:t>(FDR) sebesar 1,220 dan nilai t tabel -2,10, karena t</w:t>
      </w:r>
      <w:r>
        <w:rPr>
          <w:rFonts w:ascii="Times New Roman" w:eastAsia="Calibri" w:hAnsi="Times New Roman"/>
          <w:vertAlign w:val="subscript"/>
        </w:rPr>
        <w:t xml:space="preserve">hitung </w:t>
      </w:r>
      <w:r>
        <w:rPr>
          <w:rFonts w:ascii="Times New Roman" w:eastAsia="Calibri" w:hAnsi="Times New Roman"/>
        </w:rPr>
        <w:t>lebih besar dari t</w:t>
      </w:r>
      <w:r>
        <w:rPr>
          <w:rFonts w:ascii="Times New Roman" w:eastAsia="Calibri" w:hAnsi="Times New Roman"/>
          <w:vertAlign w:val="subscript"/>
        </w:rPr>
        <w:t xml:space="preserve">tabel </w:t>
      </w:r>
      <w:r>
        <w:rPr>
          <w:rFonts w:ascii="Times New Roman" w:eastAsia="Calibri" w:hAnsi="Times New Roman"/>
        </w:rPr>
        <w:t>(1,220</w:t>
      </w:r>
      <w:r>
        <w:rPr>
          <w:rFonts w:ascii="Arial" w:eastAsia="Calibri" w:hAnsi="Arial" w:cs="Arial"/>
        </w:rPr>
        <w:t>≥</w:t>
      </w:r>
      <w:r>
        <w:rPr>
          <w:rFonts w:ascii="Times New Roman" w:eastAsia="Calibri" w:hAnsi="Times New Roman"/>
        </w:rPr>
        <w:t xml:space="preserve"> -2,10), maka pada ting</w:t>
      </w:r>
      <w:r>
        <w:rPr>
          <w:rFonts w:ascii="Times New Roman" w:eastAsia="Calibri" w:hAnsi="Times New Roman"/>
        </w:rPr>
        <w:t>kat kekeliruan 5% diputuskan untuk menerima Ho dan menolak H</w:t>
      </w:r>
      <w:r>
        <w:rPr>
          <w:rFonts w:ascii="Times New Roman" w:eastAsia="Calibri" w:hAnsi="Times New Roman"/>
          <w:vertAlign w:val="subscript"/>
        </w:rPr>
        <w:t>1</w:t>
      </w:r>
      <w:r>
        <w:rPr>
          <w:rFonts w:ascii="Times New Roman" w:eastAsia="Calibri" w:hAnsi="Times New Roman"/>
        </w:rPr>
        <w:t xml:space="preserve">, artinya tidak terdapat pengaruh dari </w:t>
      </w:r>
      <w:r>
        <w:rPr>
          <w:rFonts w:ascii="Times New Roman" w:eastAsia="Calibri" w:hAnsi="Times New Roman"/>
          <w:i/>
          <w:iCs/>
        </w:rPr>
        <w:t xml:space="preserve">Financing to Deposit Ratio </w:t>
      </w:r>
      <w:r>
        <w:rPr>
          <w:rFonts w:ascii="Times New Roman" w:eastAsia="Calibri" w:hAnsi="Times New Roman"/>
        </w:rPr>
        <w:t xml:space="preserve">(FDR) terhadap </w:t>
      </w:r>
      <w:r>
        <w:rPr>
          <w:rFonts w:ascii="Times New Roman" w:eastAsia="Calibri" w:hAnsi="Times New Roman"/>
          <w:i/>
          <w:iCs/>
        </w:rPr>
        <w:t xml:space="preserve">Return On Asset </w:t>
      </w:r>
      <w:r>
        <w:rPr>
          <w:rFonts w:ascii="Times New Roman" w:eastAsia="Calibri" w:hAnsi="Times New Roman"/>
        </w:rPr>
        <w:t xml:space="preserve">(ROA). Hasil penelitian ini sesuai dengan hasil penelitian yang dilakukan oleh Slamet Riyadi dan Agung Yulianto (2014) dengan judul “Pengaruh Pembiayaan Bagi Hasil, pembiayaan jual beli, </w:t>
      </w:r>
      <w:r>
        <w:rPr>
          <w:rFonts w:ascii="Times New Roman" w:eastAsia="Calibri" w:hAnsi="Times New Roman"/>
          <w:i/>
          <w:iCs/>
        </w:rPr>
        <w:t xml:space="preserve">Financing to Deposit Ratio </w:t>
      </w:r>
      <w:r>
        <w:rPr>
          <w:rFonts w:ascii="Times New Roman" w:eastAsia="Calibri" w:hAnsi="Times New Roman"/>
        </w:rPr>
        <w:t xml:space="preserve">(FDR), dan </w:t>
      </w:r>
      <w:r>
        <w:rPr>
          <w:rFonts w:ascii="Times New Roman" w:eastAsia="Calibri" w:hAnsi="Times New Roman"/>
          <w:i/>
          <w:iCs/>
        </w:rPr>
        <w:t xml:space="preserve">Non Performing Financing </w:t>
      </w:r>
      <w:r>
        <w:rPr>
          <w:rFonts w:ascii="Times New Roman" w:eastAsia="Calibri" w:hAnsi="Times New Roman"/>
        </w:rPr>
        <w:t xml:space="preserve">(NPF) </w:t>
      </w:r>
      <w:r>
        <w:rPr>
          <w:rFonts w:ascii="Times New Roman" w:eastAsia="Calibri" w:hAnsi="Times New Roman"/>
        </w:rPr>
        <w:t xml:space="preserve">terhadap profitabilitas Bank umum syariah di Indonesia” yang menunjukkan hasil bahwa </w:t>
      </w:r>
      <w:r>
        <w:rPr>
          <w:rFonts w:ascii="Times New Roman" w:eastAsia="Calibri" w:hAnsi="Times New Roman"/>
          <w:i/>
          <w:iCs/>
        </w:rPr>
        <w:t xml:space="preserve">Financing to Deposit Ratio </w:t>
      </w:r>
      <w:r>
        <w:rPr>
          <w:rFonts w:ascii="Times New Roman" w:eastAsia="Calibri" w:hAnsi="Times New Roman"/>
        </w:rPr>
        <w:t xml:space="preserve">(FDR) pada Bank BNI Syariah periode 2012-2016 secara parsial tidak berpengaruh terhadap </w:t>
      </w:r>
      <w:r>
        <w:rPr>
          <w:rFonts w:ascii="Times New Roman" w:eastAsia="Calibri" w:hAnsi="Times New Roman"/>
          <w:i/>
          <w:iCs/>
        </w:rPr>
        <w:t xml:space="preserve">Return On Asset </w:t>
      </w:r>
      <w:r>
        <w:rPr>
          <w:rFonts w:ascii="Times New Roman" w:eastAsia="Calibri" w:hAnsi="Times New Roman"/>
        </w:rPr>
        <w:t>(ROA).</w:t>
      </w:r>
    </w:p>
    <w:p w:rsidR="003E6D75" w:rsidRDefault="00066F77">
      <w:pPr>
        <w:spacing w:after="0" w:line="240" w:lineRule="auto"/>
        <w:jc w:val="both"/>
        <w:rPr>
          <w:rFonts w:ascii="Times New Roman" w:eastAsia="Calibri" w:hAnsi="Times New Roman"/>
          <w:b/>
          <w:bCs/>
        </w:rPr>
      </w:pPr>
      <w:r>
        <w:rPr>
          <w:rFonts w:ascii="Times New Roman" w:eastAsia="Calibri" w:hAnsi="Times New Roman"/>
          <w:b/>
          <w:bCs/>
        </w:rPr>
        <w:t xml:space="preserve">Pengaruh </w:t>
      </w:r>
      <w:r>
        <w:rPr>
          <w:rFonts w:ascii="Times New Roman" w:eastAsia="Calibri" w:hAnsi="Times New Roman"/>
          <w:b/>
          <w:bCs/>
          <w:i/>
          <w:iCs/>
        </w:rPr>
        <w:t xml:space="preserve">Capital Adequacy Ratio </w:t>
      </w:r>
      <w:r>
        <w:rPr>
          <w:rFonts w:ascii="Times New Roman" w:eastAsia="Calibri" w:hAnsi="Times New Roman"/>
          <w:b/>
          <w:bCs/>
        </w:rPr>
        <w:t>(</w:t>
      </w:r>
      <w:r>
        <w:rPr>
          <w:rFonts w:ascii="Times New Roman" w:eastAsia="Calibri" w:hAnsi="Times New Roman"/>
          <w:b/>
          <w:bCs/>
        </w:rPr>
        <w:t xml:space="preserve">CAR) dan </w:t>
      </w:r>
      <w:r>
        <w:rPr>
          <w:rFonts w:ascii="Times New Roman" w:eastAsia="Calibri" w:hAnsi="Times New Roman"/>
          <w:b/>
          <w:bCs/>
          <w:i/>
          <w:iCs/>
        </w:rPr>
        <w:t xml:space="preserve">Financing to Deposit Ratio </w:t>
      </w:r>
      <w:r>
        <w:rPr>
          <w:rFonts w:ascii="Times New Roman" w:eastAsia="Calibri" w:hAnsi="Times New Roman"/>
          <w:b/>
          <w:bCs/>
        </w:rPr>
        <w:t xml:space="preserve">(FDR) terhadap </w:t>
      </w:r>
      <w:r>
        <w:rPr>
          <w:rFonts w:ascii="Times New Roman" w:eastAsia="Calibri" w:hAnsi="Times New Roman"/>
          <w:b/>
          <w:bCs/>
          <w:i/>
          <w:iCs/>
        </w:rPr>
        <w:t xml:space="preserve">Return On Asset </w:t>
      </w:r>
      <w:r>
        <w:rPr>
          <w:rFonts w:ascii="Times New Roman" w:eastAsia="Calibri" w:hAnsi="Times New Roman"/>
          <w:b/>
          <w:bCs/>
        </w:rPr>
        <w:t>(ROA)</w:t>
      </w:r>
    </w:p>
    <w:p w:rsidR="003E6D75" w:rsidRDefault="00066F77">
      <w:pPr>
        <w:spacing w:after="0" w:line="240" w:lineRule="auto"/>
        <w:ind w:firstLine="720"/>
        <w:jc w:val="both"/>
        <w:rPr>
          <w:rFonts w:ascii="Times New Roman" w:eastAsia="Calibri" w:hAnsi="Times New Roman"/>
        </w:rPr>
      </w:pPr>
      <w:r>
        <w:rPr>
          <w:rFonts w:ascii="Times New Roman" w:eastAsia="Calibri" w:hAnsi="Times New Roman"/>
        </w:rPr>
        <w:t xml:space="preserve">Hasil penelitian menunjukkan bahwa pengaruh </w:t>
      </w:r>
      <w:r>
        <w:rPr>
          <w:rFonts w:ascii="Times New Roman" w:eastAsia="Calibri" w:hAnsi="Times New Roman"/>
          <w:i/>
          <w:iCs/>
        </w:rPr>
        <w:t xml:space="preserve">Capital Adequacy Ratio </w:t>
      </w:r>
      <w:r>
        <w:rPr>
          <w:rFonts w:ascii="Times New Roman" w:eastAsia="Calibri" w:hAnsi="Times New Roman"/>
        </w:rPr>
        <w:t xml:space="preserve">(CAR) dan </w:t>
      </w:r>
      <w:r>
        <w:rPr>
          <w:rFonts w:ascii="Times New Roman" w:eastAsia="Calibri" w:hAnsi="Times New Roman"/>
          <w:i/>
          <w:iCs/>
        </w:rPr>
        <w:t xml:space="preserve">Financing to Deposit Ratio </w:t>
      </w:r>
      <w:r>
        <w:rPr>
          <w:rFonts w:ascii="Times New Roman" w:eastAsia="Calibri" w:hAnsi="Times New Roman"/>
        </w:rPr>
        <w:t xml:space="preserve">(FDR) terhadap </w:t>
      </w:r>
      <w:r>
        <w:rPr>
          <w:rFonts w:ascii="Times New Roman" w:eastAsia="Calibri" w:hAnsi="Times New Roman"/>
          <w:i/>
          <w:iCs/>
        </w:rPr>
        <w:t xml:space="preserve">Return On Asset </w:t>
      </w:r>
      <w:r>
        <w:rPr>
          <w:rFonts w:ascii="Times New Roman" w:eastAsia="Calibri" w:hAnsi="Times New Roman"/>
        </w:rPr>
        <w:t>(ROA) pada Bank BNI Syariah periode 2012-2016 be</w:t>
      </w:r>
      <w:r>
        <w:rPr>
          <w:rFonts w:ascii="Times New Roman" w:eastAsia="Calibri" w:hAnsi="Times New Roman"/>
        </w:rPr>
        <w:t>rpengaruh signifikan. Hal ini didukung dengan perhitungan yang diperoleh dari pengolahan data menggunakan SPSS f</w:t>
      </w:r>
      <w:r>
        <w:rPr>
          <w:rFonts w:ascii="Times New Roman" w:eastAsia="Calibri" w:hAnsi="Times New Roman"/>
          <w:vertAlign w:val="subscript"/>
        </w:rPr>
        <w:t xml:space="preserve">hitung </w:t>
      </w:r>
      <w:r>
        <w:rPr>
          <w:rFonts w:ascii="Times New Roman" w:eastAsia="Calibri" w:hAnsi="Times New Roman"/>
        </w:rPr>
        <w:t>&gt;f</w:t>
      </w:r>
      <w:r>
        <w:rPr>
          <w:rFonts w:ascii="Times New Roman" w:eastAsia="Calibri" w:hAnsi="Times New Roman"/>
          <w:vertAlign w:val="subscript"/>
        </w:rPr>
        <w:t xml:space="preserve">tabel </w:t>
      </w:r>
      <w:r>
        <w:rPr>
          <w:rFonts w:ascii="Times New Roman" w:eastAsia="Calibri" w:hAnsi="Times New Roman"/>
        </w:rPr>
        <w:t>(5,108 &gt; 3,59) dan signifikansi &lt; 0,05 (0,018&lt;0,05) hasil penelitian ini sejalan dengan penelitian Erika Amelia (2015) dengan jud</w:t>
      </w:r>
      <w:r>
        <w:rPr>
          <w:rFonts w:ascii="Times New Roman" w:eastAsia="Calibri" w:hAnsi="Times New Roman"/>
        </w:rPr>
        <w:t>ul “</w:t>
      </w:r>
      <w:r>
        <w:rPr>
          <w:rFonts w:ascii="Times New Roman" w:eastAsia="Calibri" w:hAnsi="Times New Roman"/>
          <w:i/>
          <w:iCs/>
        </w:rPr>
        <w:t>Financial Ratio and Its Influence to Profitability in Islamic Banks</w:t>
      </w:r>
      <w:r>
        <w:rPr>
          <w:rFonts w:ascii="Times New Roman" w:eastAsia="Calibri" w:hAnsi="Times New Roman"/>
        </w:rPr>
        <w:t xml:space="preserve">” yang menunjukkan hasil penelitian bahwa </w:t>
      </w:r>
      <w:r>
        <w:rPr>
          <w:rFonts w:ascii="Times New Roman" w:eastAsia="Calibri" w:hAnsi="Times New Roman"/>
          <w:i/>
          <w:iCs/>
        </w:rPr>
        <w:t xml:space="preserve">Capital Adequacy Ratio </w:t>
      </w:r>
      <w:r>
        <w:rPr>
          <w:rFonts w:ascii="Times New Roman" w:eastAsia="Calibri" w:hAnsi="Times New Roman"/>
        </w:rPr>
        <w:t xml:space="preserve">(CAR) dan </w:t>
      </w:r>
      <w:r>
        <w:rPr>
          <w:rFonts w:ascii="Times New Roman" w:eastAsia="Calibri" w:hAnsi="Times New Roman"/>
          <w:i/>
          <w:iCs/>
        </w:rPr>
        <w:t xml:space="preserve">Financing to Deposit Ratio </w:t>
      </w:r>
      <w:r>
        <w:rPr>
          <w:rFonts w:ascii="Times New Roman" w:eastAsia="Calibri" w:hAnsi="Times New Roman"/>
        </w:rPr>
        <w:t xml:space="preserve">(FDR) secara simultan berpengaruh signifikan terhadap </w:t>
      </w:r>
      <w:r>
        <w:rPr>
          <w:rFonts w:ascii="Times New Roman" w:eastAsia="Calibri" w:hAnsi="Times New Roman"/>
          <w:i/>
          <w:iCs/>
        </w:rPr>
        <w:t xml:space="preserve">Return On Asset </w:t>
      </w:r>
      <w:r>
        <w:rPr>
          <w:rFonts w:ascii="Times New Roman" w:eastAsia="Calibri" w:hAnsi="Times New Roman"/>
        </w:rPr>
        <w:t>(ROA).</w:t>
      </w:r>
    </w:p>
    <w:p w:rsidR="003E6D75" w:rsidRDefault="003E6D75">
      <w:pPr>
        <w:spacing w:after="0" w:line="240" w:lineRule="auto"/>
        <w:jc w:val="both"/>
        <w:rPr>
          <w:rFonts w:ascii="Times New Roman" w:hAnsi="Times New Roman" w:cs="Times New Roman"/>
          <w:b/>
        </w:rPr>
      </w:pPr>
    </w:p>
    <w:p w:rsidR="003E6D75" w:rsidRDefault="00066F77">
      <w:pPr>
        <w:spacing w:after="0" w:line="240" w:lineRule="auto"/>
        <w:jc w:val="both"/>
        <w:rPr>
          <w:rFonts w:ascii="Times New Roman" w:hAnsi="Times New Roman" w:cs="Times New Roman"/>
          <w:b/>
        </w:rPr>
      </w:pPr>
      <w:r>
        <w:rPr>
          <w:rFonts w:ascii="Times New Roman" w:hAnsi="Times New Roman" w:cs="Times New Roman"/>
          <w:b/>
        </w:rPr>
        <w:t>Kesim</w:t>
      </w:r>
      <w:r>
        <w:rPr>
          <w:rFonts w:ascii="Times New Roman" w:hAnsi="Times New Roman" w:cs="Times New Roman"/>
          <w:b/>
        </w:rPr>
        <w:t>pulan</w:t>
      </w:r>
    </w:p>
    <w:p w:rsidR="003E6D75" w:rsidRDefault="00066F77">
      <w:pPr>
        <w:spacing w:after="0" w:line="240" w:lineRule="auto"/>
        <w:jc w:val="both"/>
        <w:rPr>
          <w:rFonts w:ascii="Times New Roman" w:eastAsia="Calibri" w:hAnsi="Times New Roman"/>
        </w:rPr>
      </w:pPr>
      <w:r>
        <w:rPr>
          <w:rFonts w:ascii="Times New Roman" w:eastAsia="Calibri" w:hAnsi="Times New Roman"/>
        </w:rPr>
        <w:t>Berdasarkan hasil analisis dan pembahasan yang telah dilakukan pada bab sebelumnya, penulis memperoleh kesimpulan sebagai berikut:</w:t>
      </w:r>
    </w:p>
    <w:p w:rsidR="003E6D75" w:rsidRDefault="00066F77">
      <w:pPr>
        <w:pStyle w:val="ListParagraph1"/>
        <w:numPr>
          <w:ilvl w:val="0"/>
          <w:numId w:val="10"/>
        </w:numPr>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Pencapaian </w:t>
      </w:r>
      <w:r>
        <w:rPr>
          <w:rFonts w:ascii="Times New Roman" w:eastAsia="Calibri" w:hAnsi="Times New Roman"/>
          <w:i/>
          <w:iCs/>
        </w:rPr>
        <w:t xml:space="preserve">Capital Adequacy Ratio </w:t>
      </w:r>
      <w:r>
        <w:rPr>
          <w:rFonts w:ascii="Times New Roman" w:eastAsia="Calibri" w:hAnsi="Times New Roman"/>
        </w:rPr>
        <w:t xml:space="preserve">(CAR) pada Bank BNI Syariah per-triwulan selama periode 2012-2016, setiap periodenya mengalami perkembangan yang fluktuatif. Pencapaian </w:t>
      </w:r>
      <w:r>
        <w:rPr>
          <w:rFonts w:ascii="Times New Roman" w:eastAsia="Calibri" w:hAnsi="Times New Roman"/>
          <w:i/>
          <w:iCs/>
        </w:rPr>
        <w:t xml:space="preserve">Capital Adequacy Ratio </w:t>
      </w:r>
      <w:r>
        <w:rPr>
          <w:rFonts w:ascii="Times New Roman" w:eastAsia="Calibri" w:hAnsi="Times New Roman"/>
        </w:rPr>
        <w:t>(CAR) Bank BNI Syariah periode 2012-2016 telah memenuhi kecukupan modal minimum yang telah diteta</w:t>
      </w:r>
      <w:r>
        <w:rPr>
          <w:rFonts w:ascii="Times New Roman" w:eastAsia="Calibri" w:hAnsi="Times New Roman"/>
        </w:rPr>
        <w:t xml:space="preserve">pkan oleh Bank Indonesia dengan rata-rata </w:t>
      </w:r>
      <w:r>
        <w:rPr>
          <w:rFonts w:ascii="Times New Roman" w:eastAsia="Calibri" w:hAnsi="Times New Roman"/>
          <w:i/>
          <w:iCs/>
        </w:rPr>
        <w:t xml:space="preserve">Capital Adequacy Ratio </w:t>
      </w:r>
      <w:r>
        <w:rPr>
          <w:rFonts w:ascii="Times New Roman" w:eastAsia="Calibri" w:hAnsi="Times New Roman"/>
        </w:rPr>
        <w:t>(CAR) selama 5 tahun terakhir sebesar 16,33%, perkembangan terbesar berada pada tahun 2013 triwulan ke-2 sebesar 4,98% pada posisi CAR ditahun dan triwulan tersebut sebesar 19,12%, perkembang</w:t>
      </w:r>
      <w:r>
        <w:rPr>
          <w:rFonts w:ascii="Times New Roman" w:eastAsia="Calibri" w:hAnsi="Times New Roman"/>
        </w:rPr>
        <w:t>an terkecil berada pada tahun 2015 triwulan ke-1 sebesar -3,36% pada posisi CAR ditahun dan triwulan tersebut sebesar 15,4%.</w:t>
      </w:r>
    </w:p>
    <w:p w:rsidR="003E6D75" w:rsidRDefault="00066F77">
      <w:pPr>
        <w:pStyle w:val="ListParagraph1"/>
        <w:numPr>
          <w:ilvl w:val="0"/>
          <w:numId w:val="10"/>
        </w:numPr>
        <w:spacing w:before="0" w:beforeAutospacing="0" w:after="0" w:afterAutospacing="0" w:line="240" w:lineRule="auto"/>
        <w:jc w:val="both"/>
        <w:rPr>
          <w:rFonts w:ascii="Times New Roman" w:eastAsia="Calibri" w:hAnsi="Times New Roman"/>
        </w:rPr>
      </w:pPr>
      <w:r>
        <w:rPr>
          <w:rFonts w:ascii="Times New Roman" w:eastAsia="Calibri" w:hAnsi="Times New Roman"/>
        </w:rPr>
        <w:lastRenderedPageBreak/>
        <w:t xml:space="preserve">Besarnya </w:t>
      </w:r>
      <w:r>
        <w:rPr>
          <w:rFonts w:ascii="Times New Roman" w:eastAsia="Calibri" w:hAnsi="Times New Roman"/>
          <w:i/>
          <w:iCs/>
        </w:rPr>
        <w:t xml:space="preserve">Financing to Deposit Ratio </w:t>
      </w:r>
      <w:r>
        <w:rPr>
          <w:rFonts w:ascii="Times New Roman" w:eastAsia="Calibri" w:hAnsi="Times New Roman"/>
        </w:rPr>
        <w:t>(FDR) mengalami perkembangan yang berfluktuatif selama 5 tahun terakhir dengan rata-rata yang d</w:t>
      </w:r>
      <w:r>
        <w:rPr>
          <w:rFonts w:ascii="Times New Roman" w:eastAsia="Calibri" w:hAnsi="Times New Roman"/>
        </w:rPr>
        <w:t>idapat sebesar 89,54%, perkembangan terbesar berada pada tahun 2013 triwulan ke-2 sebesar 12,02% pada posisi FDR ditahun dan triwulan tersebut sebesar 92,13%, perkembangan terkecil berada pada tahun 2015 triwulan ke-3 sebesar -7% pada posisi FDR ditahun da</w:t>
      </w:r>
      <w:r>
        <w:rPr>
          <w:rFonts w:ascii="Times New Roman" w:eastAsia="Calibri" w:hAnsi="Times New Roman"/>
        </w:rPr>
        <w:t>n triwulan tersebut sebesar 89,65%.</w:t>
      </w:r>
    </w:p>
    <w:p w:rsidR="003E6D75" w:rsidRDefault="00066F77">
      <w:pPr>
        <w:pStyle w:val="ListParagraph1"/>
        <w:numPr>
          <w:ilvl w:val="0"/>
          <w:numId w:val="10"/>
        </w:numPr>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Perkembangan tingkat </w:t>
      </w:r>
      <w:r>
        <w:rPr>
          <w:rFonts w:ascii="Times New Roman" w:eastAsia="Calibri" w:hAnsi="Times New Roman"/>
          <w:i/>
          <w:iCs/>
        </w:rPr>
        <w:t xml:space="preserve">Return On Asset </w:t>
      </w:r>
      <w:r>
        <w:rPr>
          <w:rFonts w:ascii="Times New Roman" w:eastAsia="Calibri" w:hAnsi="Times New Roman"/>
        </w:rPr>
        <w:t xml:space="preserve">(ROA) yang dicapai presentase perkembangannya berfluktuatif menurun. Merujuk pada variabel Y </w:t>
      </w:r>
      <w:r>
        <w:rPr>
          <w:rFonts w:ascii="Times New Roman" w:eastAsia="Calibri" w:hAnsi="Times New Roman"/>
          <w:i/>
          <w:iCs/>
        </w:rPr>
        <w:t>Return On Asset</w:t>
      </w:r>
      <w:r>
        <w:rPr>
          <w:rFonts w:ascii="Times New Roman" w:eastAsia="Calibri" w:hAnsi="Times New Roman"/>
        </w:rPr>
        <w:t xml:space="preserve"> (ROA) yang perkembangannya selalu berfluktuatif, hal ini dikarenakan </w:t>
      </w:r>
      <w:r>
        <w:rPr>
          <w:rFonts w:ascii="Times New Roman" w:eastAsia="Calibri" w:hAnsi="Times New Roman"/>
          <w:i/>
          <w:iCs/>
        </w:rPr>
        <w:t>Retur</w:t>
      </w:r>
      <w:r>
        <w:rPr>
          <w:rFonts w:ascii="Times New Roman" w:eastAsia="Calibri" w:hAnsi="Times New Roman"/>
          <w:i/>
          <w:iCs/>
        </w:rPr>
        <w:t xml:space="preserve">n On Asset </w:t>
      </w:r>
      <w:r>
        <w:rPr>
          <w:rFonts w:ascii="Times New Roman" w:eastAsia="Calibri" w:hAnsi="Times New Roman"/>
        </w:rPr>
        <w:t xml:space="preserve">(ROA) dipengaruhi oleh besarnya total laba sebelum pajak yang dihasilkan oleh setiap bank. Suatu bank dapat dikatakan sehat apabila tingkat profitabilitas bank mencapai 1,5% sesuai dengan peraturan Bank Indonesia. Dilihat dari nilai rata-rata </w:t>
      </w:r>
      <w:r>
        <w:rPr>
          <w:rFonts w:ascii="Times New Roman" w:eastAsia="Calibri" w:hAnsi="Times New Roman"/>
          <w:i/>
          <w:iCs/>
        </w:rPr>
        <w:t>Re</w:t>
      </w:r>
      <w:r>
        <w:rPr>
          <w:rFonts w:ascii="Times New Roman" w:eastAsia="Calibri" w:hAnsi="Times New Roman"/>
          <w:i/>
          <w:iCs/>
        </w:rPr>
        <w:t xml:space="preserve">turn On Asset </w:t>
      </w:r>
      <w:r>
        <w:rPr>
          <w:rFonts w:ascii="Times New Roman" w:eastAsia="Calibri" w:hAnsi="Times New Roman"/>
        </w:rPr>
        <w:t>(ROA) tahun 2012-2016 sebesar 1,28%, perkembangan terbesar berada pada tahun 2012 triwulan ke-3 sebesar 0,66% dengan posisi ROA pada tahun dan triwulan tersebut sebesar 1,31%, perkembangan terkecil berada pada tahun 2016 triwulan ke-4 sebesar</w:t>
      </w:r>
      <w:r>
        <w:rPr>
          <w:rFonts w:ascii="Times New Roman" w:eastAsia="Calibri" w:hAnsi="Times New Roman"/>
        </w:rPr>
        <w:t xml:space="preserve"> -0,09 dengan posisi ROA pada tahun dan triwulan tersebut sebesar 1,44%.  Jadi, dapat disimpulkan bahwa Bank BNI Syariah pada tahun tersebut tidak masuk dalam kategori bank yang sehat.</w:t>
      </w:r>
    </w:p>
    <w:p w:rsidR="003E6D75" w:rsidRDefault="00066F77">
      <w:pPr>
        <w:pStyle w:val="ListParagraph1"/>
        <w:numPr>
          <w:ilvl w:val="0"/>
          <w:numId w:val="10"/>
        </w:numPr>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Pengaruh </w:t>
      </w:r>
      <w:r>
        <w:rPr>
          <w:rFonts w:ascii="Times New Roman" w:eastAsia="Calibri" w:hAnsi="Times New Roman"/>
          <w:i/>
          <w:iCs/>
        </w:rPr>
        <w:t xml:space="preserve">Capital Adequacy Ratio </w:t>
      </w:r>
      <w:r>
        <w:rPr>
          <w:rFonts w:ascii="Times New Roman" w:eastAsia="Calibri" w:hAnsi="Times New Roman"/>
        </w:rPr>
        <w:t>(CAR) secara parsial terhadap return te</w:t>
      </w:r>
      <w:r>
        <w:rPr>
          <w:rFonts w:ascii="Times New Roman" w:eastAsia="Calibri" w:hAnsi="Times New Roman"/>
        </w:rPr>
        <w:t xml:space="preserve">rhadap </w:t>
      </w:r>
      <w:r>
        <w:rPr>
          <w:rFonts w:ascii="Times New Roman" w:eastAsia="Calibri" w:hAnsi="Times New Roman"/>
          <w:i/>
          <w:iCs/>
        </w:rPr>
        <w:t xml:space="preserve">Return On Asset </w:t>
      </w:r>
      <w:r>
        <w:rPr>
          <w:rFonts w:ascii="Times New Roman" w:eastAsia="Calibri" w:hAnsi="Times New Roman"/>
        </w:rPr>
        <w:t>(ROA) pada Bank BNI Syariah periode tahun 2012-2016, hasil dari pengujian statistik nilai t</w:t>
      </w:r>
      <w:r>
        <w:rPr>
          <w:rFonts w:ascii="Times New Roman" w:eastAsia="Calibri" w:hAnsi="Times New Roman"/>
          <w:vertAlign w:val="subscript"/>
        </w:rPr>
        <w:t xml:space="preserve">hitung </w:t>
      </w:r>
      <w:r>
        <w:rPr>
          <w:rFonts w:ascii="Times New Roman" w:eastAsia="Calibri" w:hAnsi="Times New Roman"/>
        </w:rPr>
        <w:t>sebesar -2,994 lebih kecil dari t</w:t>
      </w:r>
      <w:r>
        <w:rPr>
          <w:rFonts w:ascii="Times New Roman" w:eastAsia="Calibri" w:hAnsi="Times New Roman"/>
          <w:vertAlign w:val="subscript"/>
        </w:rPr>
        <w:t xml:space="preserve">tabel </w:t>
      </w:r>
      <w:r>
        <w:rPr>
          <w:rFonts w:ascii="Times New Roman" w:eastAsia="Calibri" w:hAnsi="Times New Roman"/>
        </w:rPr>
        <w:t>sebesar 2,10 menunjukkan bahwa H</w:t>
      </w:r>
      <w:r>
        <w:rPr>
          <w:rFonts w:ascii="Times New Roman" w:eastAsia="Calibri" w:hAnsi="Times New Roman"/>
          <w:vertAlign w:val="subscript"/>
        </w:rPr>
        <w:t>1</w:t>
      </w:r>
      <w:r>
        <w:rPr>
          <w:rFonts w:ascii="Times New Roman" w:eastAsia="Calibri" w:hAnsi="Times New Roman"/>
        </w:rPr>
        <w:t xml:space="preserve"> diterima yang berarti secara secara parsial </w:t>
      </w:r>
      <w:r>
        <w:rPr>
          <w:rFonts w:ascii="Times New Roman" w:eastAsia="Calibri" w:hAnsi="Times New Roman"/>
          <w:i/>
          <w:iCs/>
        </w:rPr>
        <w:t>Capital Adequacy R</w:t>
      </w:r>
      <w:r>
        <w:rPr>
          <w:rFonts w:ascii="Times New Roman" w:eastAsia="Calibri" w:hAnsi="Times New Roman"/>
          <w:i/>
          <w:iCs/>
        </w:rPr>
        <w:t xml:space="preserve">atio </w:t>
      </w:r>
      <w:r>
        <w:rPr>
          <w:rFonts w:ascii="Times New Roman" w:eastAsia="Calibri" w:hAnsi="Times New Roman"/>
        </w:rPr>
        <w:t xml:space="preserve">(CAR) berpengaruh terhadap </w:t>
      </w:r>
      <w:r>
        <w:rPr>
          <w:rFonts w:ascii="Times New Roman" w:eastAsia="Calibri" w:hAnsi="Times New Roman"/>
          <w:i/>
          <w:iCs/>
        </w:rPr>
        <w:t xml:space="preserve">Return On Asset </w:t>
      </w:r>
      <w:r>
        <w:rPr>
          <w:rFonts w:ascii="Times New Roman" w:eastAsia="Calibri" w:hAnsi="Times New Roman"/>
        </w:rPr>
        <w:t xml:space="preserve">(ROA). Sedangkan pengaruh </w:t>
      </w:r>
      <w:r>
        <w:rPr>
          <w:rFonts w:ascii="Times New Roman" w:eastAsia="Calibri" w:hAnsi="Times New Roman"/>
          <w:i/>
          <w:iCs/>
        </w:rPr>
        <w:t xml:space="preserve">Financing to Deposit Ratio </w:t>
      </w:r>
      <w:r>
        <w:rPr>
          <w:rFonts w:ascii="Times New Roman" w:eastAsia="Calibri" w:hAnsi="Times New Roman"/>
        </w:rPr>
        <w:t xml:space="preserve">(FDR) secara parsial terhadap </w:t>
      </w:r>
      <w:r>
        <w:rPr>
          <w:rFonts w:ascii="Times New Roman" w:eastAsia="Calibri" w:hAnsi="Times New Roman"/>
          <w:i/>
          <w:iCs/>
        </w:rPr>
        <w:t xml:space="preserve">Return On Asset </w:t>
      </w:r>
      <w:r>
        <w:rPr>
          <w:rFonts w:ascii="Times New Roman" w:eastAsia="Calibri" w:hAnsi="Times New Roman"/>
        </w:rPr>
        <w:t>(ROA) pada Bank BNI Syariah periode tahun 2012-2016, hasil penelitian yang didapatkan dari pengujian statisti</w:t>
      </w:r>
      <w:r>
        <w:rPr>
          <w:rFonts w:ascii="Times New Roman" w:eastAsia="Calibri" w:hAnsi="Times New Roman"/>
        </w:rPr>
        <w:t>k t</w:t>
      </w:r>
      <w:r>
        <w:rPr>
          <w:rFonts w:ascii="Times New Roman" w:eastAsia="Calibri" w:hAnsi="Times New Roman"/>
          <w:vertAlign w:val="subscript"/>
        </w:rPr>
        <w:t xml:space="preserve">hitung </w:t>
      </w:r>
      <w:r>
        <w:rPr>
          <w:rFonts w:ascii="Times New Roman" w:eastAsia="Calibri" w:hAnsi="Times New Roman"/>
        </w:rPr>
        <w:t>sebesar 1,220 lebih besar dari t</w:t>
      </w:r>
      <w:r>
        <w:rPr>
          <w:rFonts w:ascii="Times New Roman" w:eastAsia="Calibri" w:hAnsi="Times New Roman"/>
          <w:vertAlign w:val="subscript"/>
        </w:rPr>
        <w:t xml:space="preserve">tabel </w:t>
      </w:r>
      <w:r>
        <w:rPr>
          <w:rFonts w:ascii="Times New Roman" w:eastAsia="Calibri" w:hAnsi="Times New Roman"/>
        </w:rPr>
        <w:t xml:space="preserve">sebesar -2,10 menunjukkan bahwa Ho diterima yang berarti secara parsial </w:t>
      </w:r>
      <w:r>
        <w:rPr>
          <w:rFonts w:ascii="Times New Roman" w:eastAsia="Calibri" w:hAnsi="Times New Roman"/>
          <w:i/>
          <w:iCs/>
        </w:rPr>
        <w:t xml:space="preserve">Financing to Deposit Ratio </w:t>
      </w:r>
      <w:r>
        <w:rPr>
          <w:rFonts w:ascii="Times New Roman" w:eastAsia="Calibri" w:hAnsi="Times New Roman"/>
        </w:rPr>
        <w:t xml:space="preserve">(FDR) tidak berpengaruh terhadap </w:t>
      </w:r>
      <w:r>
        <w:rPr>
          <w:rFonts w:ascii="Times New Roman" w:eastAsia="Calibri" w:hAnsi="Times New Roman"/>
          <w:i/>
          <w:iCs/>
        </w:rPr>
        <w:t xml:space="preserve">Return On Asset </w:t>
      </w:r>
      <w:r>
        <w:rPr>
          <w:rFonts w:ascii="Times New Roman" w:eastAsia="Calibri" w:hAnsi="Times New Roman"/>
        </w:rPr>
        <w:t>(ROA)  pada Bank BNI Syariah periode 2012-2016. Sedangkan, P</w:t>
      </w:r>
      <w:r>
        <w:rPr>
          <w:rFonts w:ascii="Times New Roman" w:eastAsia="Calibri" w:hAnsi="Times New Roman"/>
        </w:rPr>
        <w:t xml:space="preserve">engaruh </w:t>
      </w:r>
      <w:r>
        <w:rPr>
          <w:rFonts w:ascii="Times New Roman" w:eastAsia="Calibri" w:hAnsi="Times New Roman"/>
          <w:i/>
          <w:iCs/>
        </w:rPr>
        <w:t xml:space="preserve">Capital Adequacy Ratio </w:t>
      </w:r>
      <w:r>
        <w:rPr>
          <w:rFonts w:ascii="Times New Roman" w:eastAsia="Calibri" w:hAnsi="Times New Roman"/>
        </w:rPr>
        <w:t xml:space="preserve">(CAR) dan </w:t>
      </w:r>
      <w:r>
        <w:rPr>
          <w:rFonts w:ascii="Times New Roman" w:eastAsia="Calibri" w:hAnsi="Times New Roman"/>
          <w:i/>
          <w:iCs/>
        </w:rPr>
        <w:t xml:space="preserve">Financing to Deposit Ratio </w:t>
      </w:r>
      <w:r>
        <w:rPr>
          <w:rFonts w:ascii="Times New Roman" w:eastAsia="Calibri" w:hAnsi="Times New Roman"/>
        </w:rPr>
        <w:t xml:space="preserve">(FDR) secara simultan terhadap </w:t>
      </w:r>
      <w:r>
        <w:rPr>
          <w:rFonts w:ascii="Times New Roman" w:eastAsia="Calibri" w:hAnsi="Times New Roman"/>
          <w:i/>
          <w:iCs/>
        </w:rPr>
        <w:t xml:space="preserve">Return On Asset </w:t>
      </w:r>
      <w:r>
        <w:rPr>
          <w:rFonts w:ascii="Times New Roman" w:eastAsia="Calibri" w:hAnsi="Times New Roman"/>
        </w:rPr>
        <w:t>(ROA) pada Bank BNI Syariah periode tahun 2012-2016, hasil penelitian yang didapatkan dari pengujian statistik dengan F</w:t>
      </w:r>
      <w:r>
        <w:rPr>
          <w:rFonts w:ascii="Times New Roman" w:eastAsia="Calibri" w:hAnsi="Times New Roman"/>
          <w:vertAlign w:val="subscript"/>
        </w:rPr>
        <w:t xml:space="preserve">hitung </w:t>
      </w:r>
      <w:r>
        <w:rPr>
          <w:rFonts w:ascii="Times New Roman" w:eastAsia="Calibri" w:hAnsi="Times New Roman"/>
        </w:rPr>
        <w:t>sebesar 5,108 l</w:t>
      </w:r>
      <w:r>
        <w:rPr>
          <w:rFonts w:ascii="Times New Roman" w:eastAsia="Calibri" w:hAnsi="Times New Roman"/>
        </w:rPr>
        <w:t>ebih besar dari F</w:t>
      </w:r>
      <w:r>
        <w:rPr>
          <w:rFonts w:ascii="Times New Roman" w:eastAsia="Calibri" w:hAnsi="Times New Roman"/>
          <w:vertAlign w:val="subscript"/>
        </w:rPr>
        <w:t xml:space="preserve">tabel </w:t>
      </w:r>
      <w:r>
        <w:rPr>
          <w:rFonts w:ascii="Times New Roman" w:eastAsia="Calibri" w:hAnsi="Times New Roman"/>
        </w:rPr>
        <w:t>3,59 dengan nilai koefisien korelasi rendah sebesar 37,5% dilihat dari interval koefisien bahwa 0,20-0,399 berarti menunjukkan tingkat hubungan variabel X1 dan X2 terhadap variabel Y yang rendah, ini menunjukkan bahwa secara simultan</w:t>
      </w:r>
      <w:r>
        <w:rPr>
          <w:rFonts w:ascii="Times New Roman" w:eastAsia="Calibri" w:hAnsi="Times New Roman"/>
        </w:rPr>
        <w:t xml:space="preserve"> </w:t>
      </w:r>
      <w:r>
        <w:rPr>
          <w:rFonts w:ascii="Times New Roman" w:eastAsia="Calibri" w:hAnsi="Times New Roman"/>
          <w:i/>
          <w:iCs/>
        </w:rPr>
        <w:t xml:space="preserve">Capital Adequacy Ratio </w:t>
      </w:r>
      <w:r>
        <w:rPr>
          <w:rFonts w:ascii="Times New Roman" w:eastAsia="Calibri" w:hAnsi="Times New Roman"/>
        </w:rPr>
        <w:t xml:space="preserve">(CAR) dan </w:t>
      </w:r>
      <w:r>
        <w:rPr>
          <w:rFonts w:ascii="Times New Roman" w:eastAsia="Calibri" w:hAnsi="Times New Roman"/>
          <w:i/>
          <w:iCs/>
        </w:rPr>
        <w:t xml:space="preserve">Financing to Deposit Ratio </w:t>
      </w:r>
      <w:r>
        <w:rPr>
          <w:rFonts w:ascii="Times New Roman" w:eastAsia="Calibri" w:hAnsi="Times New Roman"/>
        </w:rPr>
        <w:t xml:space="preserve">(FDR) berpengaruh terhadap </w:t>
      </w:r>
      <w:r>
        <w:rPr>
          <w:rFonts w:ascii="Times New Roman" w:eastAsia="Calibri" w:hAnsi="Times New Roman"/>
          <w:i/>
          <w:iCs/>
        </w:rPr>
        <w:t xml:space="preserve">Return On Asset </w:t>
      </w:r>
      <w:r>
        <w:rPr>
          <w:rFonts w:ascii="Times New Roman" w:eastAsia="Calibri" w:hAnsi="Times New Roman"/>
        </w:rPr>
        <w:t xml:space="preserve">(ROA) pada Bank BNI Syariah periode tahun 2012-2016 dengan kontribusi </w:t>
      </w:r>
      <w:r>
        <w:rPr>
          <w:rFonts w:ascii="Times New Roman" w:eastAsia="Calibri" w:hAnsi="Times New Roman"/>
          <w:i/>
          <w:iCs/>
        </w:rPr>
        <w:t xml:space="preserve">Capital Adequacy Ratio </w:t>
      </w:r>
      <w:r>
        <w:rPr>
          <w:rFonts w:ascii="Times New Roman" w:eastAsia="Calibri" w:hAnsi="Times New Roman"/>
        </w:rPr>
        <w:t xml:space="preserve">(CAR) dan </w:t>
      </w:r>
      <w:r>
        <w:rPr>
          <w:rFonts w:ascii="Times New Roman" w:eastAsia="Calibri" w:hAnsi="Times New Roman"/>
          <w:i/>
          <w:iCs/>
        </w:rPr>
        <w:t xml:space="preserve">Financing to Deposit Ratio </w:t>
      </w:r>
      <w:r>
        <w:rPr>
          <w:rFonts w:ascii="Times New Roman" w:eastAsia="Calibri" w:hAnsi="Times New Roman"/>
        </w:rPr>
        <w:t>(FDR) sebesar 37,5% te</w:t>
      </w:r>
      <w:r>
        <w:rPr>
          <w:rFonts w:ascii="Times New Roman" w:eastAsia="Calibri" w:hAnsi="Times New Roman"/>
        </w:rPr>
        <w:t xml:space="preserve">rhadap </w:t>
      </w:r>
      <w:r>
        <w:rPr>
          <w:rFonts w:ascii="Times New Roman" w:eastAsia="Calibri" w:hAnsi="Times New Roman"/>
          <w:i/>
          <w:iCs/>
        </w:rPr>
        <w:t xml:space="preserve">Return On Asset </w:t>
      </w:r>
      <w:r>
        <w:rPr>
          <w:rFonts w:ascii="Times New Roman" w:eastAsia="Calibri" w:hAnsi="Times New Roman"/>
        </w:rPr>
        <w:t>(ROA) artinya H</w:t>
      </w:r>
      <w:r>
        <w:rPr>
          <w:rFonts w:ascii="Times New Roman" w:eastAsia="Calibri" w:hAnsi="Times New Roman"/>
          <w:vertAlign w:val="subscript"/>
        </w:rPr>
        <w:t xml:space="preserve">I </w:t>
      </w:r>
      <w:r>
        <w:rPr>
          <w:rFonts w:ascii="Times New Roman" w:eastAsia="Calibri" w:hAnsi="Times New Roman"/>
        </w:rPr>
        <w:t>diterima.</w:t>
      </w:r>
    </w:p>
    <w:p w:rsidR="003E6D75" w:rsidRDefault="00066F77">
      <w:pPr>
        <w:pStyle w:val="ListParagraph1"/>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 </w:t>
      </w:r>
      <w:r>
        <w:rPr>
          <w:rFonts w:ascii="Times New Roman" w:eastAsia="Calibri" w:hAnsi="Times New Roman"/>
          <w:b/>
          <w:bCs/>
        </w:rPr>
        <w:t>Saran</w:t>
      </w:r>
    </w:p>
    <w:p w:rsidR="003E6D75" w:rsidRDefault="00066F77">
      <w:pPr>
        <w:pStyle w:val="ListParagraph1"/>
        <w:numPr>
          <w:ilvl w:val="0"/>
          <w:numId w:val="11"/>
        </w:numPr>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Merujuk pada variabel </w:t>
      </w:r>
      <w:r>
        <w:rPr>
          <w:rFonts w:ascii="Times New Roman" w:eastAsia="Calibri" w:hAnsi="Times New Roman"/>
          <w:i/>
          <w:iCs/>
        </w:rPr>
        <w:t xml:space="preserve">Capital Adequacy Ratio </w:t>
      </w:r>
      <w:r>
        <w:rPr>
          <w:rFonts w:ascii="Times New Roman" w:eastAsia="Calibri" w:hAnsi="Times New Roman"/>
        </w:rPr>
        <w:t xml:space="preserve">(CAR) (X1). Tingkat </w:t>
      </w:r>
      <w:r>
        <w:rPr>
          <w:rFonts w:ascii="Times New Roman" w:eastAsia="Calibri" w:hAnsi="Times New Roman"/>
          <w:i/>
          <w:iCs/>
        </w:rPr>
        <w:t xml:space="preserve">Capital Adequacy Ratio </w:t>
      </w:r>
      <w:r>
        <w:rPr>
          <w:rFonts w:ascii="Times New Roman" w:eastAsia="Calibri" w:hAnsi="Times New Roman"/>
        </w:rPr>
        <w:t xml:space="preserve">(CAR) PT, Bank BNI Syariah menunjukkan perkembangan yang kurang baik, sebaiknya terus meningkatkan nilai </w:t>
      </w:r>
      <w:r>
        <w:rPr>
          <w:rFonts w:ascii="Times New Roman" w:eastAsia="Calibri" w:hAnsi="Times New Roman"/>
          <w:i/>
          <w:iCs/>
        </w:rPr>
        <w:t>Capita</w:t>
      </w:r>
      <w:r>
        <w:rPr>
          <w:rFonts w:ascii="Times New Roman" w:eastAsia="Calibri" w:hAnsi="Times New Roman"/>
          <w:i/>
          <w:iCs/>
        </w:rPr>
        <w:t xml:space="preserve">l Adequacy Ratio </w:t>
      </w:r>
      <w:r>
        <w:rPr>
          <w:rFonts w:ascii="Times New Roman" w:eastAsia="Calibri" w:hAnsi="Times New Roman"/>
        </w:rPr>
        <w:t>(CAR) di level yang memadai dan menata ulang permodalan secara efektif dan sebaiknya menjaga kepercayaan kepada industri perbankan itu sendiri.</w:t>
      </w:r>
    </w:p>
    <w:p w:rsidR="003E6D75" w:rsidRDefault="00066F77">
      <w:pPr>
        <w:pStyle w:val="ListParagraph1"/>
        <w:numPr>
          <w:ilvl w:val="0"/>
          <w:numId w:val="11"/>
        </w:numPr>
        <w:spacing w:before="0" w:beforeAutospacing="0" w:after="0" w:afterAutospacing="0" w:line="240" w:lineRule="auto"/>
        <w:jc w:val="both"/>
        <w:rPr>
          <w:rFonts w:ascii="Times New Roman" w:eastAsia="Calibri" w:hAnsi="Times New Roman"/>
        </w:rPr>
      </w:pPr>
      <w:r>
        <w:rPr>
          <w:rFonts w:ascii="Times New Roman" w:eastAsia="Calibri" w:hAnsi="Times New Roman"/>
        </w:rPr>
        <w:lastRenderedPageBreak/>
        <w:t xml:space="preserve">Merujuk pada variabel </w:t>
      </w:r>
      <w:r>
        <w:rPr>
          <w:rFonts w:ascii="Times New Roman" w:eastAsia="Calibri" w:hAnsi="Times New Roman"/>
          <w:i/>
          <w:iCs/>
        </w:rPr>
        <w:t xml:space="preserve">Financing to deposit ratio </w:t>
      </w:r>
      <w:r>
        <w:rPr>
          <w:rFonts w:ascii="Times New Roman" w:eastAsia="Calibri" w:hAnsi="Times New Roman"/>
        </w:rPr>
        <w:t xml:space="preserve">(FDR) (X2). Dilihat dari laporan keuangan dan </w:t>
      </w:r>
      <w:r>
        <w:rPr>
          <w:rFonts w:ascii="Times New Roman" w:eastAsia="Calibri" w:hAnsi="Times New Roman"/>
        </w:rPr>
        <w:t xml:space="preserve">hasil uji statistik yang menunjukan tidak adanya pengaruh dari </w:t>
      </w:r>
      <w:r>
        <w:rPr>
          <w:rFonts w:ascii="Times New Roman" w:eastAsia="Calibri" w:hAnsi="Times New Roman"/>
          <w:i/>
          <w:iCs/>
        </w:rPr>
        <w:t xml:space="preserve">Financing to Deposit Ratio, </w:t>
      </w:r>
      <w:r>
        <w:rPr>
          <w:rFonts w:ascii="Times New Roman" w:eastAsia="Calibri" w:hAnsi="Times New Roman"/>
        </w:rPr>
        <w:t>sebaiknya tingkatkan keseimbangan jumlah pembiayaan yang diberikan kepada masyarakat dengan simpanan masyarakat.</w:t>
      </w:r>
    </w:p>
    <w:p w:rsidR="003E6D75" w:rsidRDefault="00066F77">
      <w:pPr>
        <w:pStyle w:val="ListParagraph1"/>
        <w:numPr>
          <w:ilvl w:val="0"/>
          <w:numId w:val="11"/>
        </w:numPr>
        <w:spacing w:before="0" w:beforeAutospacing="0" w:after="0" w:afterAutospacing="0" w:line="240" w:lineRule="auto"/>
        <w:jc w:val="both"/>
        <w:rPr>
          <w:rFonts w:ascii="Times New Roman" w:eastAsia="Calibri" w:hAnsi="Times New Roman"/>
        </w:rPr>
      </w:pPr>
      <w:r>
        <w:rPr>
          <w:rFonts w:ascii="Times New Roman" w:eastAsia="Calibri" w:hAnsi="Times New Roman"/>
        </w:rPr>
        <w:t xml:space="preserve">Merujuk pada variabel </w:t>
      </w:r>
      <w:r>
        <w:rPr>
          <w:rFonts w:ascii="Times New Roman" w:eastAsia="Calibri" w:hAnsi="Times New Roman"/>
          <w:i/>
          <w:iCs/>
        </w:rPr>
        <w:t xml:space="preserve">Return On Asset </w:t>
      </w:r>
      <w:r>
        <w:rPr>
          <w:rFonts w:ascii="Times New Roman" w:eastAsia="Calibri" w:hAnsi="Times New Roman"/>
        </w:rPr>
        <w:t>(ROA) (Y) yang</w:t>
      </w:r>
      <w:r>
        <w:rPr>
          <w:rFonts w:ascii="Times New Roman" w:eastAsia="Calibri" w:hAnsi="Times New Roman"/>
        </w:rPr>
        <w:t xml:space="preserve"> perkembangannya selalu berfluktuatif dan cenderung turun pada periode tahun 2012-2016 diharapkan objek penelitian dapat menjaga dan meningkatkan profitabilitas bank (ROA) dan mempertahankan tingkat risiko pembiayaan. Objek penelitian sebaiknya menjaga pen</w:t>
      </w:r>
      <w:r>
        <w:rPr>
          <w:rFonts w:ascii="Times New Roman" w:eastAsia="Calibri" w:hAnsi="Times New Roman"/>
        </w:rPr>
        <w:t xml:space="preserve">yaluran pembiayaan sehingga dapat menekan angka rasio </w:t>
      </w:r>
      <w:r>
        <w:rPr>
          <w:rFonts w:ascii="Times New Roman" w:eastAsia="Calibri" w:hAnsi="Times New Roman"/>
          <w:i/>
          <w:iCs/>
        </w:rPr>
        <w:t xml:space="preserve">Non Performing Financing </w:t>
      </w:r>
      <w:r>
        <w:rPr>
          <w:rFonts w:ascii="Times New Roman" w:eastAsia="Calibri" w:hAnsi="Times New Roman"/>
        </w:rPr>
        <w:t>(NPF) yang lebih rendah agar tidak masuk dalam kategori bank kurang sehat.</w:t>
      </w:r>
    </w:p>
    <w:p w:rsidR="003E6D75" w:rsidRDefault="003E6D75">
      <w:pPr>
        <w:spacing w:after="0" w:line="240" w:lineRule="auto"/>
        <w:jc w:val="both"/>
        <w:rPr>
          <w:rFonts w:ascii="Times New Roman" w:hAnsi="Times New Roman" w:cs="Times New Roman"/>
          <w:b/>
        </w:rPr>
      </w:pPr>
    </w:p>
    <w:p w:rsidR="009E4453" w:rsidRPr="009E4453" w:rsidRDefault="00066F77" w:rsidP="009E4453">
      <w:pPr>
        <w:spacing w:after="0" w:line="240" w:lineRule="auto"/>
        <w:jc w:val="both"/>
        <w:rPr>
          <w:rFonts w:ascii="Times New Roman" w:hAnsi="Times New Roman" w:cs="Times New Roman"/>
          <w:b/>
        </w:rPr>
      </w:pPr>
      <w:r>
        <w:rPr>
          <w:rFonts w:ascii="Times New Roman" w:hAnsi="Times New Roman" w:cs="Times New Roman"/>
          <w:b/>
        </w:rPr>
        <w:t>Daftar Pustaka</w:t>
      </w:r>
    </w:p>
    <w:p w:rsidR="009E4453" w:rsidRPr="00066F77" w:rsidRDefault="009E4453" w:rsidP="009E4453">
      <w:pPr>
        <w:spacing w:after="0" w:line="240" w:lineRule="auto"/>
        <w:ind w:left="675" w:hangingChars="307" w:hanging="675"/>
        <w:jc w:val="both"/>
        <w:rPr>
          <w:rFonts w:ascii="Times New Roman" w:hAnsi="Times New Roman" w:cs="Times New Roman"/>
        </w:rPr>
      </w:pPr>
      <w:r w:rsidRPr="00066F77">
        <w:rPr>
          <w:rFonts w:ascii="Times New Roman" w:hAnsi="Times New Roman" w:cs="Times New Roman"/>
        </w:rPr>
        <w:t xml:space="preserve">Abdulah, </w:t>
      </w:r>
      <w:r w:rsidRPr="00066F77">
        <w:rPr>
          <w:rFonts w:ascii="Times New Roman" w:hAnsi="Times New Roman" w:cs="Times New Roman"/>
          <w:lang w:val="en-US"/>
        </w:rPr>
        <w:t>A</w:t>
      </w:r>
      <w:r w:rsidRPr="00066F77">
        <w:rPr>
          <w:rFonts w:ascii="Times New Roman" w:hAnsi="Times New Roman" w:cs="Times New Roman"/>
        </w:rPr>
        <w:t xml:space="preserve">. (2009). </w:t>
      </w:r>
      <w:r w:rsidRPr="00066F77">
        <w:rPr>
          <w:rFonts w:ascii="Times New Roman" w:hAnsi="Times New Roman" w:cs="Times New Roman"/>
          <w:i/>
        </w:rPr>
        <w:t xml:space="preserve">Bisnis, Ekonomi, Asuransi dan Keuangan Syariah, </w:t>
      </w:r>
      <w:r w:rsidRPr="00066F77">
        <w:rPr>
          <w:rFonts w:ascii="Times New Roman" w:hAnsi="Times New Roman" w:cs="Times New Roman"/>
        </w:rPr>
        <w:t>Jakarta, Grasindo.</w:t>
      </w:r>
    </w:p>
    <w:p w:rsidR="009E4453" w:rsidRPr="00066F77" w:rsidRDefault="009E4453" w:rsidP="009E4453">
      <w:pPr>
        <w:spacing w:after="0" w:line="240" w:lineRule="auto"/>
        <w:ind w:left="675" w:hangingChars="307" w:hanging="675"/>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Amir, R. (2009). </w:t>
      </w:r>
      <w:r w:rsidRPr="00066F77">
        <w:rPr>
          <w:rFonts w:ascii="Times New Roman" w:hAnsi="Times New Roman" w:cs="Times New Roman"/>
          <w:i/>
        </w:rPr>
        <w:t xml:space="preserve">Menata Perbankan Syariah di Indonesia, </w:t>
      </w:r>
      <w:r w:rsidRPr="00066F77">
        <w:rPr>
          <w:rFonts w:ascii="Times New Roman" w:hAnsi="Times New Roman" w:cs="Times New Roman"/>
        </w:rPr>
        <w:t>UIN Press.</w:t>
      </w:r>
    </w:p>
    <w:p w:rsidR="009E4453" w:rsidRPr="00066F77" w:rsidRDefault="009E4453" w:rsidP="009E4453">
      <w:pPr>
        <w:spacing w:after="0" w:line="240" w:lineRule="auto"/>
        <w:jc w:val="both"/>
        <w:rPr>
          <w:rFonts w:ascii="Times New Roman" w:hAnsi="Times New Roman" w:cs="Times New Roman"/>
        </w:rPr>
      </w:pPr>
      <w:r w:rsidRPr="00066F77">
        <w:rPr>
          <w:rFonts w:ascii="Times New Roman" w:hAnsi="Times New Roman" w:cs="Times New Roman"/>
        </w:rPr>
        <w:t xml:space="preserve">Ascarya. (2007). </w:t>
      </w:r>
      <w:r w:rsidRPr="00066F77">
        <w:rPr>
          <w:rFonts w:ascii="Times New Roman" w:hAnsi="Times New Roman" w:cs="Times New Roman"/>
          <w:i/>
        </w:rPr>
        <w:t xml:space="preserve">Akad dan Produk Bank Syariah. </w:t>
      </w:r>
      <w:r w:rsidRPr="00066F77">
        <w:rPr>
          <w:rFonts w:ascii="Times New Roman" w:hAnsi="Times New Roman" w:cs="Times New Roman"/>
        </w:rPr>
        <w:t>Jakarta, Gema Insani Press.</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Brigham</w:t>
      </w:r>
      <w:r w:rsidRPr="00066F77">
        <w:rPr>
          <w:rFonts w:ascii="Times New Roman" w:hAnsi="Times New Roman" w:cs="Times New Roman"/>
          <w:lang w:val="en-US"/>
        </w:rPr>
        <w:t>,</w:t>
      </w:r>
      <w:r w:rsidRPr="00066F77">
        <w:rPr>
          <w:rFonts w:ascii="Times New Roman" w:hAnsi="Times New Roman" w:cs="Times New Roman"/>
        </w:rPr>
        <w:t xml:space="preserve"> H. (2014). </w:t>
      </w:r>
      <w:r w:rsidRPr="00066F77">
        <w:rPr>
          <w:rFonts w:ascii="Times New Roman" w:hAnsi="Times New Roman" w:cs="Times New Roman"/>
          <w:i/>
        </w:rPr>
        <w:t xml:space="preserve">Fundamentals Of Financial Management, </w:t>
      </w:r>
      <w:r w:rsidRPr="00066F77">
        <w:rPr>
          <w:rFonts w:ascii="Times New Roman" w:hAnsi="Times New Roman" w:cs="Times New Roman"/>
        </w:rPr>
        <w:t>Edisi 14, Zo Channel Center Street, USA.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Bustari</w:t>
      </w:r>
      <w:r w:rsidRPr="00066F77">
        <w:rPr>
          <w:rFonts w:ascii="Times New Roman" w:hAnsi="Times New Roman" w:cs="Times New Roman"/>
          <w:lang w:val="en-US"/>
        </w:rPr>
        <w:t>,</w:t>
      </w:r>
      <w:r w:rsidRPr="00066F77">
        <w:rPr>
          <w:rFonts w:ascii="Times New Roman" w:hAnsi="Times New Roman" w:cs="Times New Roman"/>
        </w:rPr>
        <w:t xml:space="preserve"> M. (2016). </w:t>
      </w:r>
      <w:r w:rsidRPr="00066F77">
        <w:rPr>
          <w:rFonts w:ascii="Times New Roman" w:hAnsi="Times New Roman" w:cs="Times New Roman"/>
          <w:i/>
        </w:rPr>
        <w:t xml:space="preserve">Bank dan Lembaga Keuangan Lainnya, </w:t>
      </w:r>
      <w:r w:rsidRPr="00066F77">
        <w:rPr>
          <w:rFonts w:ascii="Times New Roman" w:hAnsi="Times New Roman" w:cs="Times New Roman"/>
        </w:rPr>
        <w:t>edisi pertama, Jakarta, Kencana.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Defri. (2012). </w:t>
      </w:r>
      <w:r w:rsidRPr="00066F77">
        <w:rPr>
          <w:rFonts w:ascii="Times New Roman" w:hAnsi="Times New Roman" w:cs="Times New Roman"/>
          <w:iCs/>
        </w:rPr>
        <w:t>Pengaruh Internal Capital Adequacy Ratio (CAR), Financing to Deposit Ratio (FDR), dan Biaya Operasional Perpendapatan Operasional (BOPO) dalam Peningkatan ProfitabilitasIndustri Bank Syariah Indonesia.</w:t>
      </w:r>
      <w:r w:rsidRPr="00066F77">
        <w:rPr>
          <w:rFonts w:ascii="Times New Roman" w:hAnsi="Times New Roman" w:cs="Times New Roman"/>
        </w:rPr>
        <w:t xml:space="preserve"> </w:t>
      </w:r>
      <w:r w:rsidRPr="00066F77">
        <w:rPr>
          <w:rFonts w:ascii="Times New Roman" w:hAnsi="Times New Roman" w:cs="Times New Roman"/>
          <w:i/>
          <w:iCs/>
        </w:rPr>
        <w:t>Jurnal Ekomoni dan Perbankan Syariah</w:t>
      </w:r>
      <w:r w:rsidRPr="00066F77">
        <w:rPr>
          <w:rFonts w:ascii="Times New Roman" w:hAnsi="Times New Roman" w:cs="Times New Roman"/>
          <w:i/>
        </w:rPr>
        <w:t>, Vol.1, No.1.</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Dendawijaya, L. (2009). </w:t>
      </w:r>
      <w:r w:rsidRPr="00066F77">
        <w:rPr>
          <w:rFonts w:ascii="Times New Roman" w:hAnsi="Times New Roman" w:cs="Times New Roman"/>
          <w:i/>
        </w:rPr>
        <w:t>Manajemen Perbankan</w:t>
      </w:r>
      <w:r w:rsidRPr="00066F77">
        <w:rPr>
          <w:rFonts w:ascii="Times New Roman" w:hAnsi="Times New Roman" w:cs="Times New Roman"/>
        </w:rPr>
        <w:t>, edisi 2. Jakarta, Gahlia Indonesia.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i/>
        </w:rPr>
      </w:pPr>
      <w:r w:rsidRPr="00066F77">
        <w:rPr>
          <w:rFonts w:ascii="Times New Roman" w:hAnsi="Times New Roman" w:cs="Times New Roman"/>
        </w:rPr>
        <w:t>Erika</w:t>
      </w:r>
      <w:r w:rsidRPr="00066F77">
        <w:rPr>
          <w:rFonts w:ascii="Times New Roman" w:hAnsi="Times New Roman" w:cs="Times New Roman"/>
          <w:lang w:val="en-US"/>
        </w:rPr>
        <w:t>,</w:t>
      </w:r>
      <w:r w:rsidRPr="00066F77">
        <w:rPr>
          <w:rFonts w:ascii="Times New Roman" w:hAnsi="Times New Roman" w:cs="Times New Roman"/>
        </w:rPr>
        <w:t xml:space="preserve"> A. (2015). Financial Ratio and its Influence to Profitabilitas in Islamic Banks</w:t>
      </w:r>
      <w:r w:rsidRPr="00066F77">
        <w:rPr>
          <w:rFonts w:ascii="Times New Roman" w:hAnsi="Times New Roman" w:cs="Times New Roman"/>
          <w:i/>
        </w:rPr>
        <w:t>. Jurnal manajemen, Vol.VII, No.2.</w:t>
      </w:r>
    </w:p>
    <w:p w:rsidR="009E4453" w:rsidRPr="00066F77" w:rsidRDefault="009E4453" w:rsidP="009E4453">
      <w:pPr>
        <w:spacing w:after="0" w:line="240" w:lineRule="auto"/>
        <w:ind w:left="567" w:hanging="567"/>
        <w:jc w:val="both"/>
        <w:rPr>
          <w:rFonts w:ascii="Times New Roman" w:hAnsi="Times New Roman" w:cs="Times New Roman"/>
          <w:i/>
        </w:rPr>
      </w:pPr>
    </w:p>
    <w:p w:rsidR="009E4453" w:rsidRPr="00066F77" w:rsidRDefault="009E4453" w:rsidP="009E4453">
      <w:pPr>
        <w:spacing w:after="0" w:line="240" w:lineRule="auto"/>
        <w:ind w:left="660" w:hangingChars="300" w:hanging="660"/>
        <w:jc w:val="both"/>
        <w:rPr>
          <w:rFonts w:ascii="Times New Roman" w:hAnsi="Times New Roman" w:cs="Times New Roman"/>
        </w:rPr>
      </w:pPr>
      <w:hyperlink r:id="rId8" w:history="1">
        <w:r w:rsidRPr="00066F77">
          <w:rPr>
            <w:rStyle w:val="Hyperlink"/>
            <w:rFonts w:ascii="Times New Roman" w:hAnsi="Times New Roman" w:cs="Times New Roman"/>
            <w:i/>
          </w:rPr>
          <w:t>http://www.bnisyariah.co.id/tentang-kami/company-report/laporan-keuangan/laporantriwulan</w:t>
        </w:r>
      </w:hyperlink>
      <w:r w:rsidRPr="00066F77">
        <w:rPr>
          <w:rFonts w:ascii="Times New Roman" w:hAnsi="Times New Roman" w:cs="Times New Roman"/>
          <w:i/>
        </w:rPr>
        <w:t xml:space="preserve">, </w:t>
      </w:r>
      <w:r w:rsidRPr="00066F77">
        <w:rPr>
          <w:rFonts w:ascii="Times New Roman" w:hAnsi="Times New Roman" w:cs="Times New Roman"/>
        </w:rPr>
        <w:t>diunduh pada tanggal 20 Mei 2018.</w:t>
      </w:r>
    </w:p>
    <w:p w:rsidR="009E4453" w:rsidRPr="00066F77" w:rsidRDefault="009E4453" w:rsidP="009E4453">
      <w:pPr>
        <w:spacing w:after="0" w:line="240" w:lineRule="auto"/>
        <w:ind w:left="660" w:hangingChars="300" w:hanging="660"/>
        <w:jc w:val="both"/>
        <w:rPr>
          <w:rFonts w:ascii="Times New Roman" w:hAnsi="Times New Roman" w:cs="Times New Roman"/>
        </w:rPr>
      </w:pPr>
    </w:p>
    <w:p w:rsidR="009E4453" w:rsidRPr="00066F77" w:rsidRDefault="009E4453" w:rsidP="009E4453">
      <w:pPr>
        <w:spacing w:after="0" w:line="240" w:lineRule="auto"/>
        <w:ind w:left="660" w:hangingChars="300" w:hanging="660"/>
        <w:jc w:val="both"/>
        <w:rPr>
          <w:rFonts w:ascii="Times New Roman" w:hAnsi="Times New Roman" w:cs="Times New Roman"/>
        </w:rPr>
      </w:pPr>
      <w:r w:rsidRPr="00066F77">
        <w:rPr>
          <w:rFonts w:ascii="Times New Roman" w:hAnsi="Times New Roman" w:cs="Times New Roman"/>
          <w:i/>
        </w:rPr>
        <w:t>http://</w:t>
      </w:r>
      <w:hyperlink r:id="rId9" w:history="1">
        <w:r w:rsidRPr="00066F77">
          <w:rPr>
            <w:rStyle w:val="Hyperlink"/>
            <w:rFonts w:ascii="Times New Roman" w:hAnsi="Times New Roman" w:cs="Times New Roman"/>
            <w:i/>
          </w:rPr>
          <w:t>www.bnisyariah.co.id</w:t>
        </w:r>
      </w:hyperlink>
      <w:r w:rsidRPr="00066F77">
        <w:rPr>
          <w:rFonts w:ascii="Times New Roman" w:hAnsi="Times New Roman" w:cs="Times New Roman"/>
          <w:i/>
        </w:rPr>
        <w:t xml:space="preserve"> </w:t>
      </w:r>
      <w:r w:rsidRPr="00066F77">
        <w:rPr>
          <w:rFonts w:ascii="Times New Roman" w:hAnsi="Times New Roman" w:cs="Times New Roman"/>
        </w:rPr>
        <w:t>diunduh pada tanggal 20 mei 2018</w:t>
      </w:r>
    </w:p>
    <w:p w:rsidR="009E4453" w:rsidRPr="00066F77" w:rsidRDefault="009E4453" w:rsidP="009E4453">
      <w:pPr>
        <w:spacing w:after="0" w:line="240" w:lineRule="auto"/>
        <w:ind w:left="567" w:hanging="567"/>
        <w:jc w:val="both"/>
        <w:rPr>
          <w:rFonts w:ascii="Times New Roman" w:hAnsi="Times New Roman" w:cs="Times New Roman"/>
          <w:i/>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Ikatan Akuntan Indonesia. (2009). </w:t>
      </w:r>
      <w:r w:rsidRPr="00066F77">
        <w:rPr>
          <w:rFonts w:ascii="Times New Roman" w:hAnsi="Times New Roman" w:cs="Times New Roman"/>
          <w:i/>
        </w:rPr>
        <w:t xml:space="preserve">Prinsip Akuntansi Indonesia, </w:t>
      </w:r>
      <w:r w:rsidRPr="00066F77">
        <w:rPr>
          <w:rFonts w:ascii="Times New Roman" w:hAnsi="Times New Roman" w:cs="Times New Roman"/>
        </w:rPr>
        <w:t>Jakarta, Ichtiar Baru.</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Ikatan Bankir Indonesia. (2014). </w:t>
      </w:r>
      <w:r w:rsidRPr="00066F77">
        <w:rPr>
          <w:rFonts w:ascii="Times New Roman" w:hAnsi="Times New Roman" w:cs="Times New Roman"/>
          <w:i/>
        </w:rPr>
        <w:t>Mengelola Bank Syariah</w:t>
      </w:r>
      <w:r w:rsidRPr="00066F77">
        <w:rPr>
          <w:rFonts w:ascii="Times New Roman" w:hAnsi="Times New Roman" w:cs="Times New Roman"/>
        </w:rPr>
        <w:t>, Kompas Gramedia Building Blok 1, Jakarta.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Iska. (2012). </w:t>
      </w:r>
      <w:r w:rsidRPr="00066F77">
        <w:rPr>
          <w:rFonts w:ascii="Times New Roman" w:hAnsi="Times New Roman" w:cs="Times New Roman"/>
          <w:i/>
        </w:rPr>
        <w:t>Sistem Perbankan Syariah di Indonesia</w:t>
      </w:r>
      <w:r w:rsidRPr="00066F77">
        <w:rPr>
          <w:rFonts w:ascii="Times New Roman" w:hAnsi="Times New Roman" w:cs="Times New Roman"/>
        </w:rPr>
        <w:t>: analisis menurut keuangan islam, University Malaysia.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jc w:val="both"/>
        <w:rPr>
          <w:rFonts w:ascii="Times New Roman" w:hAnsi="Times New Roman" w:cs="Times New Roman"/>
        </w:rPr>
      </w:pPr>
      <w:r w:rsidRPr="00066F77">
        <w:rPr>
          <w:rFonts w:ascii="Times New Roman" w:hAnsi="Times New Roman" w:cs="Times New Roman"/>
        </w:rPr>
        <w:t xml:space="preserve">Ismail. (2016). </w:t>
      </w:r>
      <w:r w:rsidRPr="00066F77">
        <w:rPr>
          <w:rFonts w:ascii="Times New Roman" w:hAnsi="Times New Roman" w:cs="Times New Roman"/>
          <w:i/>
        </w:rPr>
        <w:t>Perbankan Syariah</w:t>
      </w:r>
      <w:r w:rsidRPr="00066F77">
        <w:rPr>
          <w:rFonts w:ascii="Times New Roman" w:hAnsi="Times New Roman" w:cs="Times New Roman"/>
        </w:rPr>
        <w:t>, Edisi pertama, Prenadamedia Group, Jakarta.</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Johari, F. (2011). </w:t>
      </w:r>
      <w:r w:rsidRPr="00066F77">
        <w:rPr>
          <w:rFonts w:ascii="Times New Roman" w:hAnsi="Times New Roman" w:cs="Times New Roman"/>
          <w:i/>
        </w:rPr>
        <w:t>Numerical Study on Non Uniform External Flow Analisys,</w:t>
      </w:r>
      <w:r w:rsidRPr="00066F77">
        <w:rPr>
          <w:rFonts w:ascii="Times New Roman" w:hAnsi="Times New Roman" w:cs="Times New Roman"/>
        </w:rPr>
        <w:t xml:space="preserve"> University Malaysia.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Kasmir. (2007). </w:t>
      </w:r>
      <w:r w:rsidRPr="00066F77">
        <w:rPr>
          <w:rFonts w:ascii="Times New Roman" w:hAnsi="Times New Roman" w:cs="Times New Roman"/>
          <w:i/>
        </w:rPr>
        <w:t xml:space="preserve">Bank dan Lembaga Keuangan Lainnya. </w:t>
      </w:r>
      <w:r w:rsidRPr="00066F77">
        <w:rPr>
          <w:rFonts w:ascii="Times New Roman" w:hAnsi="Times New Roman" w:cs="Times New Roman"/>
        </w:rPr>
        <w:t>Jakarta: PT. Raja Grafindo Persada.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Kasmir. (2010). </w:t>
      </w:r>
      <w:r w:rsidRPr="00066F77">
        <w:rPr>
          <w:rFonts w:ascii="Times New Roman" w:hAnsi="Times New Roman" w:cs="Times New Roman"/>
          <w:i/>
        </w:rPr>
        <w:t xml:space="preserve">Analisis Laporan Keuangan, </w:t>
      </w:r>
      <w:r w:rsidRPr="00066F77">
        <w:rPr>
          <w:rFonts w:ascii="Times New Roman" w:hAnsi="Times New Roman" w:cs="Times New Roman"/>
        </w:rPr>
        <w:t>Jakarta, Rajawali Pers.</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lastRenderedPageBreak/>
        <w:t xml:space="preserve">Kasmir. (2014). </w:t>
      </w:r>
      <w:r w:rsidRPr="00066F77">
        <w:rPr>
          <w:rFonts w:ascii="Times New Roman" w:hAnsi="Times New Roman" w:cs="Times New Roman"/>
          <w:i/>
        </w:rPr>
        <w:t xml:space="preserve">Dasar-Dasar Perbankan, </w:t>
      </w:r>
      <w:r w:rsidRPr="00066F77">
        <w:rPr>
          <w:rFonts w:ascii="Times New Roman" w:hAnsi="Times New Roman" w:cs="Times New Roman"/>
        </w:rPr>
        <w:t>Edisi Revisi 2008. Jakarta: PT. Raja Grafindo Persada.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Laksmana, Y. (2009). </w:t>
      </w:r>
      <w:r w:rsidRPr="00066F77">
        <w:rPr>
          <w:rFonts w:ascii="Times New Roman" w:hAnsi="Times New Roman" w:cs="Times New Roman"/>
          <w:i/>
        </w:rPr>
        <w:t>Panduan Praktis Account Officer Bank Syariah</w:t>
      </w:r>
      <w:r w:rsidRPr="00066F77">
        <w:rPr>
          <w:rFonts w:ascii="Times New Roman" w:hAnsi="Times New Roman" w:cs="Times New Roman"/>
        </w:rPr>
        <w:t>: memahami praktis proses pembiayaan di bank syariah, Jakarta, Elex Media Komputindo.</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Machmud, R. (2010). </w:t>
      </w:r>
      <w:r w:rsidRPr="00066F77">
        <w:rPr>
          <w:rFonts w:ascii="Times New Roman" w:hAnsi="Times New Roman" w:cs="Times New Roman"/>
          <w:i/>
        </w:rPr>
        <w:t xml:space="preserve">Bank Syariah, </w:t>
      </w:r>
      <w:r w:rsidRPr="00066F77">
        <w:rPr>
          <w:rFonts w:ascii="Times New Roman" w:hAnsi="Times New Roman" w:cs="Times New Roman"/>
        </w:rPr>
        <w:t>Jakarta, Erlangga.</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Munawir. (2010). </w:t>
      </w:r>
      <w:r w:rsidRPr="00066F77">
        <w:rPr>
          <w:rFonts w:ascii="Times New Roman" w:hAnsi="Times New Roman" w:cs="Times New Roman"/>
          <w:i/>
        </w:rPr>
        <w:t xml:space="preserve">Analisis Laporan Keuangan, </w:t>
      </w:r>
      <w:r w:rsidRPr="00066F77">
        <w:rPr>
          <w:rFonts w:ascii="Times New Roman" w:hAnsi="Times New Roman" w:cs="Times New Roman"/>
        </w:rPr>
        <w:t>Edisi 4. Yogyakarta: Liberty Yogyakarta.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Pet.P. (2007). </w:t>
      </w:r>
      <w:r w:rsidRPr="00066F77">
        <w:rPr>
          <w:rFonts w:ascii="Times New Roman" w:hAnsi="Times New Roman" w:cs="Times New Roman"/>
          <w:i/>
        </w:rPr>
        <w:t>Petunjuk Praktis Penyusunan</w:t>
      </w:r>
      <w:r w:rsidRPr="00066F77">
        <w:rPr>
          <w:rFonts w:ascii="Times New Roman" w:hAnsi="Times New Roman" w:cs="Times New Roman"/>
        </w:rPr>
        <w:t xml:space="preserve"> </w:t>
      </w:r>
      <w:r w:rsidRPr="00066F77">
        <w:rPr>
          <w:rFonts w:ascii="Times New Roman" w:hAnsi="Times New Roman" w:cs="Times New Roman"/>
          <w:i/>
        </w:rPr>
        <w:t xml:space="preserve">Balanced Scorecard, </w:t>
      </w:r>
      <w:r w:rsidRPr="00066F77">
        <w:rPr>
          <w:rFonts w:ascii="Times New Roman" w:hAnsi="Times New Roman" w:cs="Times New Roman"/>
        </w:rPr>
        <w:t>Jakarta: PT.Gramedia Pustaka Utama.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Puspitasari. (2009). Model Proporsi Tabbaru’ dan Ujrah pada Bisnis Asuransi Umum Syariah Di Indonesia</w:t>
      </w:r>
      <w:r w:rsidRPr="00066F77">
        <w:rPr>
          <w:rFonts w:ascii="Times New Roman" w:hAnsi="Times New Roman" w:cs="Times New Roman"/>
          <w:i/>
        </w:rPr>
        <w:t xml:space="preserve">.e-jurnal Akuntansi dan Keuangan Indonesia, </w:t>
      </w:r>
      <w:r w:rsidRPr="00066F77">
        <w:rPr>
          <w:rFonts w:ascii="Times New Roman" w:hAnsi="Times New Roman" w:cs="Times New Roman"/>
        </w:rPr>
        <w:t>Vol.9, No.1.</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Santoso. (2016). </w:t>
      </w:r>
      <w:r w:rsidRPr="00066F77">
        <w:rPr>
          <w:rFonts w:ascii="Times New Roman" w:hAnsi="Times New Roman" w:cs="Times New Roman"/>
          <w:i/>
          <w:iCs/>
        </w:rPr>
        <w:t xml:space="preserve">Statistika Hospitalitas, </w:t>
      </w:r>
      <w:r w:rsidRPr="00066F77">
        <w:rPr>
          <w:rFonts w:ascii="Times New Roman" w:hAnsi="Times New Roman" w:cs="Times New Roman"/>
        </w:rPr>
        <w:t>Yogyakarta:Deepublish</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Solihin, A. (2010). </w:t>
      </w:r>
      <w:r w:rsidRPr="00066F77">
        <w:rPr>
          <w:rFonts w:ascii="Times New Roman" w:hAnsi="Times New Roman" w:cs="Times New Roman"/>
          <w:i/>
        </w:rPr>
        <w:t xml:space="preserve">Buku Pintar Ekonomi Syariah, </w:t>
      </w:r>
      <w:r w:rsidRPr="00066F77">
        <w:rPr>
          <w:rFonts w:ascii="Times New Roman" w:hAnsi="Times New Roman" w:cs="Times New Roman"/>
        </w:rPr>
        <w:t>Jakarta, PT. Gramedia Pustaka Utama.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Sudarsono. (2014). </w:t>
      </w:r>
      <w:r w:rsidRPr="00066F77">
        <w:rPr>
          <w:rFonts w:ascii="Times New Roman" w:hAnsi="Times New Roman" w:cs="Times New Roman"/>
          <w:i/>
        </w:rPr>
        <w:t>Bank dan Lembaga Keuangan: Deskripsi dan ilustrasi</w:t>
      </w:r>
      <w:r w:rsidRPr="00066F77">
        <w:rPr>
          <w:rFonts w:ascii="Times New Roman" w:hAnsi="Times New Roman" w:cs="Times New Roman"/>
        </w:rPr>
        <w:t>, ed.Yogyakarta: Ekonisia.</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ind w:left="605" w:hangingChars="275" w:hanging="605"/>
        <w:jc w:val="both"/>
        <w:rPr>
          <w:rFonts w:ascii="Times New Roman" w:hAnsi="Times New Roman" w:cs="Times New Roman"/>
        </w:rPr>
      </w:pPr>
      <w:r w:rsidRPr="00066F77">
        <w:rPr>
          <w:rFonts w:ascii="Times New Roman" w:hAnsi="Times New Roman" w:cs="Times New Roman"/>
        </w:rPr>
        <w:t xml:space="preserve">Sudiyanto, B. (2010). </w:t>
      </w:r>
      <w:r w:rsidRPr="00066F77">
        <w:rPr>
          <w:rFonts w:ascii="Times New Roman" w:hAnsi="Times New Roman" w:cs="Times New Roman"/>
          <w:iCs/>
        </w:rPr>
        <w:t>Analisis Pengaruh DPK, BOPO, CAR, dan LDR Terhadap Kinerja Keuangan Pada Sektor Perbankan yang Go Public di Bursa Efek Indonesia (BEI)</w:t>
      </w:r>
      <w:r w:rsidRPr="00066F77">
        <w:rPr>
          <w:rFonts w:ascii="Times New Roman" w:hAnsi="Times New Roman" w:cs="Times New Roman"/>
        </w:rPr>
        <w:t xml:space="preserve">. </w:t>
      </w:r>
      <w:r w:rsidRPr="00066F77">
        <w:rPr>
          <w:rFonts w:ascii="Times New Roman" w:hAnsi="Times New Roman" w:cs="Times New Roman"/>
          <w:i/>
          <w:iCs/>
        </w:rPr>
        <w:t>Junral Manajement</w:t>
      </w:r>
      <w:r w:rsidRPr="00066F77">
        <w:rPr>
          <w:rFonts w:ascii="Times New Roman" w:hAnsi="Times New Roman" w:cs="Times New Roman"/>
          <w:i/>
        </w:rPr>
        <w:t>, Vol.2, No.2.</w:t>
      </w:r>
    </w:p>
    <w:p w:rsidR="009E4453" w:rsidRPr="00066F77" w:rsidRDefault="009E4453" w:rsidP="009E4453">
      <w:pPr>
        <w:spacing w:after="0" w:line="240" w:lineRule="auto"/>
        <w:ind w:left="605" w:hangingChars="275" w:hanging="605"/>
        <w:jc w:val="both"/>
        <w:rPr>
          <w:rFonts w:ascii="Times New Roman" w:hAnsi="Times New Roman" w:cs="Times New Roman"/>
        </w:rPr>
      </w:pP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 xml:space="preserve">Sugiyono. (2009). </w:t>
      </w:r>
      <w:r w:rsidRPr="00066F77">
        <w:rPr>
          <w:rFonts w:ascii="Times New Roman" w:hAnsi="Times New Roman" w:cs="Times New Roman"/>
          <w:i/>
        </w:rPr>
        <w:t xml:space="preserve">Metode Penelitian Bisnis, </w:t>
      </w:r>
      <w:r w:rsidRPr="00066F77">
        <w:rPr>
          <w:rFonts w:ascii="Times New Roman" w:hAnsi="Times New Roman" w:cs="Times New Roman"/>
        </w:rPr>
        <w:t>Bandung, Alfabeta.</w:t>
      </w:r>
    </w:p>
    <w:p w:rsidR="009E4453" w:rsidRPr="00066F77" w:rsidRDefault="009E4453" w:rsidP="009E4453">
      <w:pPr>
        <w:spacing w:after="0" w:line="240" w:lineRule="auto"/>
        <w:ind w:left="567" w:hanging="567"/>
        <w:jc w:val="both"/>
        <w:rPr>
          <w:rFonts w:ascii="Times New Roman" w:hAnsi="Times New Roman" w:cs="Times New Roman"/>
        </w:rPr>
      </w:pPr>
      <w:r w:rsidRPr="00066F77">
        <w:rPr>
          <w:rFonts w:ascii="Times New Roman" w:hAnsi="Times New Roman" w:cs="Times New Roman"/>
        </w:rPr>
        <w:t>Undang-Undang No.10 tahun 1998 pasal 1 ayat (1,2) Tentang Perubahan Undang-Undang No.7 tahun 1992 Tentang perbankan.</w:t>
      </w:r>
    </w:p>
    <w:p w:rsidR="009E4453" w:rsidRPr="00066F77" w:rsidRDefault="009E4453" w:rsidP="009E4453">
      <w:pPr>
        <w:spacing w:after="0" w:line="240" w:lineRule="auto"/>
        <w:ind w:left="567" w:hanging="567"/>
        <w:jc w:val="both"/>
        <w:rPr>
          <w:rFonts w:ascii="Times New Roman" w:hAnsi="Times New Roman" w:cs="Times New Roman"/>
        </w:rPr>
      </w:pPr>
    </w:p>
    <w:p w:rsidR="009E4453" w:rsidRPr="00066F77" w:rsidRDefault="009E4453" w:rsidP="009E4453">
      <w:pPr>
        <w:spacing w:after="0" w:line="240" w:lineRule="auto"/>
        <w:jc w:val="both"/>
        <w:rPr>
          <w:rFonts w:ascii="Times New Roman" w:hAnsi="Times New Roman" w:cs="Times New Roman"/>
        </w:rPr>
      </w:pPr>
      <w:r w:rsidRPr="00066F77">
        <w:rPr>
          <w:rFonts w:ascii="Times New Roman" w:hAnsi="Times New Roman" w:cs="Times New Roman"/>
        </w:rPr>
        <w:t>Undang-Undang No.21 tahun 2008 Tentang Perbankan Syariah</w:t>
      </w:r>
    </w:p>
    <w:p w:rsidR="009E4453" w:rsidRPr="00066F77" w:rsidRDefault="009E4453" w:rsidP="009E4453">
      <w:pPr>
        <w:spacing w:after="0" w:line="240" w:lineRule="auto"/>
        <w:jc w:val="both"/>
        <w:rPr>
          <w:rFonts w:ascii="Times New Roman" w:hAnsi="Times New Roman" w:cs="Times New Roman"/>
        </w:rPr>
      </w:pPr>
    </w:p>
    <w:p w:rsidR="003E6D75" w:rsidRDefault="003E6D75" w:rsidP="009E4453">
      <w:pPr>
        <w:spacing w:after="0" w:line="240" w:lineRule="auto"/>
        <w:jc w:val="both"/>
        <w:rPr>
          <w:rFonts w:ascii="Times New Roman" w:hAnsi="Times New Roman" w:cs="Times New Roman"/>
          <w:b/>
        </w:rPr>
      </w:pPr>
      <w:bookmarkStart w:id="0" w:name="_GoBack"/>
      <w:bookmarkEnd w:id="0"/>
    </w:p>
    <w:sectPr w:rsidR="003E6D75">
      <w:pgSz w:w="11906" w:h="16838"/>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43A"/>
    <w:multiLevelType w:val="multilevel"/>
    <w:tmpl w:val="04EB543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 w15:restartNumberingAfterBreak="0">
    <w:nsid w:val="13E01991"/>
    <w:multiLevelType w:val="multilevel"/>
    <w:tmpl w:val="13E01991"/>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 w15:restartNumberingAfterBreak="0">
    <w:nsid w:val="25585274"/>
    <w:multiLevelType w:val="multilevel"/>
    <w:tmpl w:val="2558527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3E0238"/>
    <w:multiLevelType w:val="multilevel"/>
    <w:tmpl w:val="303E023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ED1803"/>
    <w:multiLevelType w:val="multilevel"/>
    <w:tmpl w:val="31ED1803"/>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5" w15:restartNumberingAfterBreak="0">
    <w:nsid w:val="5B2BC678"/>
    <w:multiLevelType w:val="singleLevel"/>
    <w:tmpl w:val="5B2BC678"/>
    <w:lvl w:ilvl="0">
      <w:start w:val="1"/>
      <w:numFmt w:val="decimal"/>
      <w:suff w:val="space"/>
      <w:lvlText w:val="%1."/>
      <w:lvlJc w:val="left"/>
    </w:lvl>
  </w:abstractNum>
  <w:abstractNum w:abstractNumId="6" w15:restartNumberingAfterBreak="0">
    <w:nsid w:val="5B2BC72A"/>
    <w:multiLevelType w:val="singleLevel"/>
    <w:tmpl w:val="5B2BC72A"/>
    <w:lvl w:ilvl="0">
      <w:start w:val="1"/>
      <w:numFmt w:val="lowerLetter"/>
      <w:suff w:val="space"/>
      <w:lvlText w:val="%1."/>
      <w:lvlJc w:val="left"/>
    </w:lvl>
  </w:abstractNum>
  <w:abstractNum w:abstractNumId="7" w15:restartNumberingAfterBreak="0">
    <w:nsid w:val="5B2C5AEB"/>
    <w:multiLevelType w:val="singleLevel"/>
    <w:tmpl w:val="5B2C5AEB"/>
    <w:lvl w:ilvl="0">
      <w:start w:val="2"/>
      <w:numFmt w:val="decimal"/>
      <w:suff w:val="space"/>
      <w:lvlText w:val="%1."/>
      <w:lvlJc w:val="left"/>
    </w:lvl>
  </w:abstractNum>
  <w:abstractNum w:abstractNumId="8" w15:restartNumberingAfterBreak="0">
    <w:nsid w:val="5B2C5B22"/>
    <w:multiLevelType w:val="singleLevel"/>
    <w:tmpl w:val="5B2C5B22"/>
    <w:lvl w:ilvl="0">
      <w:start w:val="1"/>
      <w:numFmt w:val="lowerLetter"/>
      <w:suff w:val="space"/>
      <w:lvlText w:val="%1."/>
      <w:lvlJc w:val="left"/>
    </w:lvl>
  </w:abstractNum>
  <w:abstractNum w:abstractNumId="9" w15:restartNumberingAfterBreak="0">
    <w:nsid w:val="5B2C7340"/>
    <w:multiLevelType w:val="singleLevel"/>
    <w:tmpl w:val="5B2C7340"/>
    <w:lvl w:ilvl="0">
      <w:start w:val="1"/>
      <w:numFmt w:val="lowerLetter"/>
      <w:lvlText w:val="%1."/>
      <w:lvlJc w:val="left"/>
      <w:pPr>
        <w:ind w:left="425" w:hanging="425"/>
      </w:pPr>
      <w:rPr>
        <w:rFonts w:hint="default"/>
      </w:rPr>
    </w:lvl>
  </w:abstractNum>
  <w:abstractNum w:abstractNumId="10" w15:restartNumberingAfterBreak="0">
    <w:nsid w:val="5B3A0E58"/>
    <w:multiLevelType w:val="multilevel"/>
    <w:tmpl w:val="5B3A0E5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0"/>
  </w:num>
  <w:num w:numId="2">
    <w:abstractNumId w:val="2"/>
  </w:num>
  <w:num w:numId="3">
    <w:abstractNumId w:val="3"/>
  </w:num>
  <w:num w:numId="4">
    <w:abstractNumId w:val="1"/>
  </w:num>
  <w:num w:numId="5">
    <w:abstractNumId w:val="5"/>
  </w:num>
  <w:num w:numId="6">
    <w:abstractNumId w:val="6"/>
  </w:num>
  <w:num w:numId="7">
    <w:abstractNumId w:val="7"/>
  </w:num>
  <w:num w:numId="8">
    <w:abstractNumId w:val="8"/>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A8B"/>
    <w:rsid w:val="00066F77"/>
    <w:rsid w:val="00085F59"/>
    <w:rsid w:val="001454E1"/>
    <w:rsid w:val="002802EA"/>
    <w:rsid w:val="00287D4A"/>
    <w:rsid w:val="002E0655"/>
    <w:rsid w:val="002E0DE3"/>
    <w:rsid w:val="003E6D75"/>
    <w:rsid w:val="004E14F6"/>
    <w:rsid w:val="00585991"/>
    <w:rsid w:val="006712F6"/>
    <w:rsid w:val="006C799F"/>
    <w:rsid w:val="007F44E4"/>
    <w:rsid w:val="009E4453"/>
    <w:rsid w:val="00A70F84"/>
    <w:rsid w:val="00CB7FD8"/>
    <w:rsid w:val="00CC6512"/>
    <w:rsid w:val="00E220F5"/>
    <w:rsid w:val="00E55A8B"/>
    <w:rsid w:val="00F9380A"/>
    <w:rsid w:val="15CA2F28"/>
    <w:rsid w:val="34C21916"/>
    <w:rsid w:val="3E044358"/>
    <w:rsid w:val="3E527F6D"/>
    <w:rsid w:val="55255876"/>
    <w:rsid w:val="5E2F2CAF"/>
    <w:rsid w:val="5E6B271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70D0E1"/>
  <w15:docId w15:val="{FC0F2EBC-C6D3-4CD1-A4B0-2F2942169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table" w:styleId="TableGrid">
    <w:name w:val="Table Grid"/>
    <w:basedOn w:val="TableNormal"/>
    <w:uiPriority w:val="99"/>
    <w:unhideWhenUsed/>
    <w:pPr>
      <w:spacing w:after="0" w:line="240" w:lineRule="auto"/>
    </w:pPr>
    <w:rPr>
      <w:rFonts w:ascii="Times New Roman" w:eastAsia="Times New Roman" w:hAnsi="Times New Roman" w:cs="Times New Roman"/>
    </w:rPr>
    <w:tblPr>
      <w:tblCellMar>
        <w:left w:w="0" w:type="dxa"/>
        <w:right w:w="0"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15">
    <w:name w:val="15"/>
    <w:basedOn w:val="DefaultParagraphFont"/>
    <w:rPr>
      <w:rFonts w:ascii="SimSun" w:eastAsia="SimSun" w:hAnsi="SimSun" w:hint="eastAsia"/>
      <w:color w:val="0000FF"/>
      <w:u w:val="single"/>
    </w:rPr>
  </w:style>
  <w:style w:type="paragraph" w:customStyle="1" w:styleId="ListParagraph1">
    <w:name w:val="List Paragraph1"/>
    <w:basedOn w:val="Normal"/>
    <w:pPr>
      <w:spacing w:before="100" w:beforeAutospacing="1" w:after="100" w:afterAutospacing="1" w:line="273" w:lineRule="auto"/>
      <w:contextualSpacing/>
    </w:pPr>
    <w:rPr>
      <w:rFonts w:ascii="Calibri" w:eastAsia="Times New Roman" w:hAnsi="Calibri" w:cs="Times New Roman"/>
      <w:sz w:val="24"/>
      <w:szCs w:val="24"/>
      <w:lang w:eastAsia="id-ID"/>
    </w:rPr>
  </w:style>
  <w:style w:type="character" w:styleId="Hyperlink">
    <w:name w:val="Hyperlink"/>
    <w:basedOn w:val="DefaultParagraphFont"/>
    <w:uiPriority w:val="99"/>
    <w:unhideWhenUsed/>
    <w:qFormat/>
    <w:rsid w:val="009E44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nisyariah.co.id/tentang-kami/company-report/laporan-keuangan/laporantriwulan"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nisyariah.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4750</Words>
  <Characters>27075</Characters>
  <Application>Microsoft Office Word</Application>
  <DocSecurity>0</DocSecurity>
  <Lines>225</Lines>
  <Paragraphs>63</Paragraphs>
  <ScaleCrop>false</ScaleCrop>
  <Company/>
  <LinksUpToDate>false</LinksUpToDate>
  <CharactersWithSpaces>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sahabat</cp:lastModifiedBy>
  <cp:revision>13</cp:revision>
  <dcterms:created xsi:type="dcterms:W3CDTF">2018-08-27T16:25:00Z</dcterms:created>
  <dcterms:modified xsi:type="dcterms:W3CDTF">2018-09-03T03:44:00Z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